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7A7" w:rsidRPr="00F8076D" w:rsidRDefault="00D340FB" w:rsidP="00F8076D">
      <w:pPr>
        <w:pStyle w:val="Default"/>
        <w:spacing w:line="360" w:lineRule="auto"/>
        <w:ind w:left="5664"/>
        <w:jc w:val="both"/>
        <w:rPr>
          <w:bCs/>
          <w:color w:val="auto"/>
        </w:rPr>
      </w:pPr>
      <w:r w:rsidRPr="00CA067F">
        <w:rPr>
          <w:bCs/>
          <w:color w:val="auto"/>
        </w:rPr>
        <w:t xml:space="preserve">   </w:t>
      </w:r>
    </w:p>
    <w:p w:rsidR="003C2CBF" w:rsidRPr="00CA067F" w:rsidRDefault="003C2CBF" w:rsidP="00CA067F">
      <w:pPr>
        <w:pStyle w:val="Default"/>
        <w:spacing w:line="276" w:lineRule="auto"/>
        <w:rPr>
          <w:rFonts w:ascii="Verdana" w:hAnsi="Verdana"/>
        </w:rPr>
      </w:pPr>
    </w:p>
    <w:p w:rsidR="003117A7" w:rsidRPr="00CA067F" w:rsidRDefault="00CA067F" w:rsidP="00CA067F">
      <w:pPr>
        <w:pStyle w:val="Default"/>
        <w:spacing w:line="276" w:lineRule="auto"/>
        <w:rPr>
          <w:rFonts w:ascii="Verdana" w:hAnsi="Verdana"/>
        </w:rPr>
      </w:pPr>
      <w:r w:rsidRPr="00CA067F">
        <w:rPr>
          <w:rFonts w:ascii="Verdana" w:hAnsi="Verdana"/>
        </w:rPr>
        <w:t>Praca konkursowa dla kandydatów na stanowisko asystenta sędziego</w:t>
      </w:r>
    </w:p>
    <w:p w:rsidR="003117A7" w:rsidRPr="00CA067F" w:rsidRDefault="00D340FB" w:rsidP="00CA067F">
      <w:pPr>
        <w:pStyle w:val="Default"/>
        <w:spacing w:line="276" w:lineRule="auto"/>
        <w:rPr>
          <w:rFonts w:ascii="Verdana" w:hAnsi="Verdana"/>
        </w:rPr>
      </w:pPr>
      <w:r w:rsidRPr="00CA067F">
        <w:rPr>
          <w:rFonts w:ascii="Verdana" w:hAnsi="Verdana"/>
        </w:rPr>
        <w:t>Kd-111-</w:t>
      </w:r>
      <w:r w:rsidR="004E31F4" w:rsidRPr="00CA067F">
        <w:rPr>
          <w:rFonts w:ascii="Verdana" w:hAnsi="Verdana"/>
        </w:rPr>
        <w:t>2</w:t>
      </w:r>
      <w:r w:rsidR="003117A7" w:rsidRPr="00CA067F">
        <w:rPr>
          <w:rFonts w:ascii="Verdana" w:hAnsi="Verdana"/>
        </w:rPr>
        <w:t>/</w:t>
      </w:r>
      <w:r w:rsidR="007E5A98" w:rsidRPr="00CA067F">
        <w:rPr>
          <w:rFonts w:ascii="Verdana" w:hAnsi="Verdana"/>
        </w:rPr>
        <w:t>20</w:t>
      </w:r>
      <w:r w:rsidR="004E31F4" w:rsidRPr="00CA067F">
        <w:rPr>
          <w:rFonts w:ascii="Verdana" w:hAnsi="Verdana"/>
        </w:rPr>
        <w:t>20</w:t>
      </w:r>
      <w:r w:rsidR="003117A7" w:rsidRPr="00CA067F">
        <w:rPr>
          <w:rFonts w:ascii="Verdana" w:hAnsi="Verdana"/>
        </w:rPr>
        <w:t xml:space="preserve"> </w:t>
      </w:r>
      <w:r w:rsidR="003117A7" w:rsidRPr="00CA067F">
        <w:rPr>
          <w:rFonts w:ascii="Verdana" w:hAnsi="Verdana"/>
        </w:rPr>
        <w:br/>
      </w:r>
      <w:r w:rsidR="00F8076D">
        <w:rPr>
          <w:rFonts w:ascii="Verdana" w:hAnsi="Verdana"/>
        </w:rPr>
        <w:t>Test</w:t>
      </w:r>
      <w:r w:rsidR="003117A7" w:rsidRPr="00CA067F">
        <w:rPr>
          <w:rFonts w:ascii="Verdana" w:hAnsi="Verdana"/>
        </w:rPr>
        <w:br/>
      </w:r>
    </w:p>
    <w:p w:rsidR="003C2CBF" w:rsidRPr="00CA067F" w:rsidRDefault="003C2CBF" w:rsidP="00CA067F">
      <w:pPr>
        <w:pStyle w:val="Default"/>
        <w:spacing w:line="276" w:lineRule="auto"/>
        <w:rPr>
          <w:rFonts w:ascii="Verdana" w:hAnsi="Verdana"/>
        </w:rPr>
      </w:pPr>
    </w:p>
    <w:p w:rsidR="00CA067F" w:rsidRPr="00CA067F" w:rsidRDefault="00CA067F" w:rsidP="00CA067F">
      <w:pPr>
        <w:rPr>
          <w:rFonts w:ascii="Verdana" w:hAnsi="Verdana"/>
          <w:sz w:val="24"/>
          <w:szCs w:val="24"/>
        </w:rPr>
      </w:pPr>
    </w:p>
    <w:p w:rsidR="00592717" w:rsidRPr="00CA067F" w:rsidRDefault="00CA067F" w:rsidP="00CA067F">
      <w:pPr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Pytanie testowe dla asystentów z zakresu prawa cywilnego i</w:t>
      </w:r>
      <w:r w:rsidR="00C91ECA" w:rsidRPr="00CA067F">
        <w:rPr>
          <w:rFonts w:ascii="Verdana" w:hAnsi="Verdana"/>
          <w:sz w:val="24"/>
          <w:szCs w:val="24"/>
        </w:rPr>
        <w:t> </w:t>
      </w:r>
      <w:r w:rsidRPr="00CA067F">
        <w:rPr>
          <w:rFonts w:ascii="Verdana" w:hAnsi="Verdana"/>
          <w:sz w:val="24"/>
          <w:szCs w:val="24"/>
        </w:rPr>
        <w:t>postępowania cywilnego</w:t>
      </w:r>
    </w:p>
    <w:p w:rsidR="004E31F4" w:rsidRPr="00CA067F" w:rsidRDefault="004E31F4" w:rsidP="00CA067F">
      <w:pPr>
        <w:spacing w:after="0"/>
        <w:ind w:left="720"/>
        <w:contextualSpacing/>
        <w:rPr>
          <w:rFonts w:ascii="Verdana" w:hAnsi="Verdana"/>
          <w:sz w:val="24"/>
          <w:szCs w:val="24"/>
        </w:rPr>
      </w:pPr>
    </w:p>
    <w:p w:rsidR="004E31F4" w:rsidRPr="00CA067F" w:rsidRDefault="004E31F4" w:rsidP="00CA067F">
      <w:pPr>
        <w:numPr>
          <w:ilvl w:val="0"/>
          <w:numId w:val="2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Ubezwłasnowolnioną całkowicie może być:</w:t>
      </w:r>
    </w:p>
    <w:p w:rsidR="004E31F4" w:rsidRPr="00CA067F" w:rsidRDefault="004E31F4" w:rsidP="00CA067F">
      <w:pPr>
        <w:numPr>
          <w:ilvl w:val="0"/>
          <w:numId w:val="3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osoba która ukończyła lat 18</w:t>
      </w:r>
      <w:r w:rsidR="003C2CBF" w:rsidRPr="00CA067F">
        <w:rPr>
          <w:rFonts w:ascii="Verdana" w:hAnsi="Verdana"/>
          <w:sz w:val="24"/>
          <w:szCs w:val="24"/>
        </w:rPr>
        <w:t>;</w:t>
      </w:r>
    </w:p>
    <w:p w:rsidR="004E31F4" w:rsidRPr="00CA067F" w:rsidRDefault="004E31F4" w:rsidP="00CA067F">
      <w:pPr>
        <w:numPr>
          <w:ilvl w:val="0"/>
          <w:numId w:val="3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osoba</w:t>
      </w:r>
      <w:r w:rsidR="006B6B45" w:rsidRPr="00CA067F">
        <w:rPr>
          <w:rFonts w:ascii="Verdana" w:hAnsi="Verdana"/>
          <w:sz w:val="24"/>
          <w:szCs w:val="24"/>
        </w:rPr>
        <w:t xml:space="preserve"> która</w:t>
      </w:r>
      <w:r w:rsidRPr="00CA067F">
        <w:rPr>
          <w:rFonts w:ascii="Verdana" w:hAnsi="Verdana"/>
          <w:sz w:val="24"/>
          <w:szCs w:val="24"/>
        </w:rPr>
        <w:t xml:space="preserve"> ukończyła lat 13</w:t>
      </w:r>
      <w:r w:rsidR="003C2CBF" w:rsidRPr="00CA067F">
        <w:rPr>
          <w:rFonts w:ascii="Verdana" w:hAnsi="Verdana"/>
          <w:sz w:val="24"/>
          <w:szCs w:val="24"/>
        </w:rPr>
        <w:t>;</w:t>
      </w:r>
    </w:p>
    <w:p w:rsidR="004E31F4" w:rsidRPr="00CA067F" w:rsidRDefault="004E31F4" w:rsidP="00CA067F">
      <w:pPr>
        <w:numPr>
          <w:ilvl w:val="0"/>
          <w:numId w:val="3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każda osoba fizyczna niezależnie od wieku.</w:t>
      </w:r>
    </w:p>
    <w:p w:rsidR="004E31F4" w:rsidRPr="00CA067F" w:rsidRDefault="004E31F4" w:rsidP="00CA067F">
      <w:pPr>
        <w:spacing w:after="0"/>
        <w:ind w:left="720"/>
        <w:contextualSpacing/>
        <w:rPr>
          <w:rFonts w:ascii="Verdana" w:hAnsi="Verdana"/>
          <w:sz w:val="24"/>
          <w:szCs w:val="24"/>
        </w:rPr>
      </w:pPr>
    </w:p>
    <w:p w:rsidR="004E31F4" w:rsidRPr="00CA067F" w:rsidRDefault="004E31F4" w:rsidP="00CA067F">
      <w:pPr>
        <w:numPr>
          <w:ilvl w:val="0"/>
          <w:numId w:val="2"/>
        </w:numPr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Ważność umowy, która została zawarta przez osobę ograniczoną w zdolności do czynności prawnych bez wymaganej zgody jej przedstawiciela ustawowego:</w:t>
      </w:r>
    </w:p>
    <w:p w:rsidR="004E31F4" w:rsidRPr="00CA067F" w:rsidRDefault="004E31F4" w:rsidP="00CA067F">
      <w:pPr>
        <w:numPr>
          <w:ilvl w:val="0"/>
          <w:numId w:val="4"/>
        </w:numPr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zależy od potwierdzenia umowy przez przedstawiciela ustawowego tej osoby;</w:t>
      </w:r>
    </w:p>
    <w:p w:rsidR="004E31F4" w:rsidRPr="00CA067F" w:rsidRDefault="004E31F4" w:rsidP="00CA067F">
      <w:pPr>
        <w:numPr>
          <w:ilvl w:val="0"/>
          <w:numId w:val="4"/>
        </w:numPr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jest bezwzględnie nieważna i nie może zostać następczo potwierdzona przez przedstawiciela ustawowego tej osoby;</w:t>
      </w:r>
    </w:p>
    <w:p w:rsidR="004E31F4" w:rsidRPr="00CA067F" w:rsidRDefault="004E31F4" w:rsidP="00CA067F">
      <w:pPr>
        <w:numPr>
          <w:ilvl w:val="0"/>
          <w:numId w:val="4"/>
        </w:numPr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zależy od potwierdzenia przez drugą stronę umowy.</w:t>
      </w:r>
    </w:p>
    <w:p w:rsidR="004E31F4" w:rsidRPr="00CA067F" w:rsidRDefault="004E31F4" w:rsidP="00CA067F">
      <w:pPr>
        <w:spacing w:after="0"/>
        <w:ind w:left="1080"/>
        <w:contextualSpacing/>
        <w:rPr>
          <w:rFonts w:ascii="Verdana" w:hAnsi="Verdana"/>
          <w:sz w:val="24"/>
          <w:szCs w:val="24"/>
        </w:rPr>
      </w:pPr>
    </w:p>
    <w:p w:rsidR="004E31F4" w:rsidRPr="00CA067F" w:rsidRDefault="004E31F4" w:rsidP="00CA067F">
      <w:pPr>
        <w:numPr>
          <w:ilvl w:val="0"/>
          <w:numId w:val="2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Biegu przedawnienia nie przerwa:</w:t>
      </w:r>
    </w:p>
    <w:p w:rsidR="004E31F4" w:rsidRPr="00CA067F" w:rsidRDefault="004E31F4" w:rsidP="00CA067F">
      <w:pPr>
        <w:pStyle w:val="Akapitzlist"/>
        <w:numPr>
          <w:ilvl w:val="0"/>
          <w:numId w:val="19"/>
        </w:numPr>
        <w:spacing w:after="0"/>
        <w:rPr>
          <w:rFonts w:ascii="Verdana" w:hAnsi="Verdana"/>
          <w:sz w:val="24"/>
          <w:szCs w:val="24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wszczęcie mediacji</w:t>
      </w:r>
      <w:r w:rsidR="003C2CBF" w:rsidRPr="00CA067F">
        <w:rPr>
          <w:rFonts w:ascii="Verdana" w:hAnsi="Verdana"/>
          <w:sz w:val="24"/>
          <w:szCs w:val="24"/>
        </w:rPr>
        <w:t>;</w:t>
      </w:r>
    </w:p>
    <w:p w:rsidR="004E31F4" w:rsidRPr="00CA067F" w:rsidRDefault="004E31F4" w:rsidP="00CA067F">
      <w:pPr>
        <w:pStyle w:val="Akapitzlist"/>
        <w:numPr>
          <w:ilvl w:val="0"/>
          <w:numId w:val="19"/>
        </w:numPr>
        <w:spacing w:after="0"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pisemne wezwanie dłużnika do spełnienia świadczenia z podpisem notarialnie poświadczonym</w:t>
      </w:r>
      <w:r w:rsidR="003C2CBF" w:rsidRPr="00CA067F">
        <w:rPr>
          <w:rFonts w:ascii="Verdana" w:eastAsia="Times New Roman" w:hAnsi="Verdana"/>
          <w:sz w:val="24"/>
          <w:szCs w:val="24"/>
          <w:lang w:eastAsia="pl-PL"/>
        </w:rPr>
        <w:t>;</w:t>
      </w:r>
    </w:p>
    <w:p w:rsidR="004E31F4" w:rsidRPr="00CA067F" w:rsidRDefault="004E31F4" w:rsidP="00CA067F">
      <w:pPr>
        <w:pStyle w:val="Akapitzlist"/>
        <w:numPr>
          <w:ilvl w:val="0"/>
          <w:numId w:val="19"/>
        </w:numPr>
        <w:spacing w:after="0"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uznanie roszczenia przez osobę, przeciwko której roszczenie przysługuje.</w:t>
      </w:r>
    </w:p>
    <w:p w:rsidR="004E31F4" w:rsidRPr="00CA067F" w:rsidRDefault="004E31F4" w:rsidP="00CA067F">
      <w:pPr>
        <w:pStyle w:val="Akapitzlist"/>
        <w:spacing w:after="0"/>
        <w:ind w:left="1080"/>
        <w:rPr>
          <w:rFonts w:ascii="Verdana" w:eastAsia="Times New Roman" w:hAnsi="Verdana"/>
          <w:sz w:val="24"/>
          <w:szCs w:val="24"/>
          <w:lang w:eastAsia="pl-PL"/>
        </w:rPr>
      </w:pPr>
    </w:p>
    <w:p w:rsidR="004E31F4" w:rsidRPr="00CA067F" w:rsidRDefault="004E31F4" w:rsidP="00CA067F">
      <w:pPr>
        <w:pStyle w:val="Akapitzlist"/>
        <w:numPr>
          <w:ilvl w:val="0"/>
          <w:numId w:val="2"/>
        </w:numPr>
        <w:spacing w:after="0"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Ograniczonym prawem rzeczowym jest</w:t>
      </w:r>
      <w:r w:rsidRPr="00CA067F">
        <w:rPr>
          <w:rFonts w:ascii="Verdana" w:hAnsi="Verdana"/>
          <w:sz w:val="24"/>
          <w:szCs w:val="24"/>
        </w:rPr>
        <w:t>:</w:t>
      </w:r>
    </w:p>
    <w:p w:rsidR="004E31F4" w:rsidRPr="00CA067F" w:rsidRDefault="004E31F4" w:rsidP="00CA067F">
      <w:pPr>
        <w:numPr>
          <w:ilvl w:val="0"/>
          <w:numId w:val="5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spółdzielcze własnościowe prawo do lokalu;</w:t>
      </w:r>
    </w:p>
    <w:p w:rsidR="004E31F4" w:rsidRPr="00CA067F" w:rsidRDefault="004E31F4" w:rsidP="00CA067F">
      <w:pPr>
        <w:numPr>
          <w:ilvl w:val="0"/>
          <w:numId w:val="5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dożywocie;</w:t>
      </w:r>
    </w:p>
    <w:p w:rsidR="004E31F4" w:rsidRPr="00CA067F" w:rsidRDefault="004E31F4" w:rsidP="00CA067F">
      <w:pPr>
        <w:numPr>
          <w:ilvl w:val="0"/>
          <w:numId w:val="5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dzierżawa</w:t>
      </w:r>
      <w:r w:rsidR="003C2CBF" w:rsidRPr="00CA067F">
        <w:rPr>
          <w:rFonts w:ascii="Verdana" w:hAnsi="Verdana"/>
          <w:sz w:val="24"/>
          <w:szCs w:val="24"/>
        </w:rPr>
        <w:t>.</w:t>
      </w:r>
    </w:p>
    <w:p w:rsidR="004E31F4" w:rsidRPr="00CA067F" w:rsidRDefault="004E31F4" w:rsidP="00CA067F">
      <w:pPr>
        <w:spacing w:after="0"/>
        <w:ind w:left="1068"/>
        <w:contextualSpacing/>
        <w:rPr>
          <w:rFonts w:ascii="Verdana" w:hAnsi="Verdana"/>
          <w:sz w:val="24"/>
          <w:szCs w:val="24"/>
        </w:rPr>
      </w:pPr>
    </w:p>
    <w:p w:rsidR="004E31F4" w:rsidRPr="00CA067F" w:rsidRDefault="004E31F4" w:rsidP="00CA067F">
      <w:pPr>
        <w:numPr>
          <w:ilvl w:val="0"/>
          <w:numId w:val="2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W razie podziału nieruchomości obciążonej służebność:</w:t>
      </w:r>
    </w:p>
    <w:p w:rsidR="004E31F4" w:rsidRPr="00CA067F" w:rsidRDefault="004E31F4" w:rsidP="00CA067F">
      <w:pPr>
        <w:numPr>
          <w:ilvl w:val="0"/>
          <w:numId w:val="6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wygasa;</w:t>
      </w:r>
    </w:p>
    <w:p w:rsidR="004E31F4" w:rsidRPr="00CA067F" w:rsidRDefault="004E31F4" w:rsidP="00CA067F">
      <w:pPr>
        <w:numPr>
          <w:ilvl w:val="0"/>
          <w:numId w:val="6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utrzymuje się w mocy tylko na tej części utworzonej przez podział nieruchomości co do której była wykonywana</w:t>
      </w:r>
      <w:r w:rsidRPr="00CA067F">
        <w:rPr>
          <w:rFonts w:ascii="Verdana" w:hAnsi="Verdana"/>
          <w:sz w:val="24"/>
          <w:szCs w:val="24"/>
        </w:rPr>
        <w:t>;</w:t>
      </w:r>
    </w:p>
    <w:p w:rsidR="004E31F4" w:rsidRPr="00CA067F" w:rsidRDefault="004E31F4" w:rsidP="00CA067F">
      <w:pPr>
        <w:pStyle w:val="Akapitzlist"/>
        <w:numPr>
          <w:ilvl w:val="0"/>
          <w:numId w:val="6"/>
        </w:numPr>
        <w:spacing w:after="0"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lastRenderedPageBreak/>
        <w:t>utrzymuje się w mocy na częściach utworzonych przez podział.</w:t>
      </w:r>
    </w:p>
    <w:p w:rsidR="004E31F4" w:rsidRPr="00CA067F" w:rsidRDefault="004E31F4" w:rsidP="00CA067F">
      <w:pPr>
        <w:spacing w:after="0"/>
        <w:ind w:left="1080"/>
        <w:contextualSpacing/>
        <w:rPr>
          <w:rFonts w:ascii="Verdana" w:hAnsi="Verdana"/>
          <w:sz w:val="24"/>
          <w:szCs w:val="24"/>
        </w:rPr>
      </w:pPr>
    </w:p>
    <w:p w:rsidR="004E31F4" w:rsidRPr="00CA067F" w:rsidRDefault="004E31F4" w:rsidP="00CA067F">
      <w:pPr>
        <w:numPr>
          <w:ilvl w:val="0"/>
          <w:numId w:val="2"/>
        </w:numPr>
        <w:spacing w:after="0"/>
        <w:ind w:hanging="294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Mogą być umorzone przez potrącenie wierzytelności:</w:t>
      </w:r>
    </w:p>
    <w:p w:rsidR="004E31F4" w:rsidRPr="00CA067F" w:rsidRDefault="004E31F4" w:rsidP="00CA067F">
      <w:pPr>
        <w:numPr>
          <w:ilvl w:val="0"/>
          <w:numId w:val="7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nieulegające zajęciu</w:t>
      </w:r>
      <w:r w:rsidR="003C2CBF" w:rsidRPr="00CA067F">
        <w:rPr>
          <w:rFonts w:ascii="Verdana" w:hAnsi="Verdana"/>
          <w:sz w:val="24"/>
          <w:szCs w:val="24"/>
        </w:rPr>
        <w:t>;</w:t>
      </w:r>
    </w:p>
    <w:p w:rsidR="004E31F4" w:rsidRPr="00CA067F" w:rsidRDefault="004E31F4" w:rsidP="00CA067F">
      <w:pPr>
        <w:numPr>
          <w:ilvl w:val="0"/>
          <w:numId w:val="7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wynikające z czynów niedozwolonych</w:t>
      </w:r>
      <w:r w:rsidR="003C2CBF" w:rsidRPr="00CA067F">
        <w:rPr>
          <w:rFonts w:ascii="Verdana" w:hAnsi="Verdana"/>
          <w:sz w:val="24"/>
          <w:szCs w:val="24"/>
        </w:rPr>
        <w:t>;</w:t>
      </w:r>
    </w:p>
    <w:p w:rsidR="004E31F4" w:rsidRPr="00CA067F" w:rsidRDefault="004E31F4" w:rsidP="00CA067F">
      <w:pPr>
        <w:pStyle w:val="Akapitzlist"/>
        <w:numPr>
          <w:ilvl w:val="0"/>
          <w:numId w:val="7"/>
        </w:numPr>
        <w:spacing w:after="0"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przedawnione jeżeli w chwili, gdy potrącenie stało się możliwe, przedawnienie jeszcze nie nastąpiło.</w:t>
      </w:r>
    </w:p>
    <w:p w:rsidR="004E31F4" w:rsidRPr="00CA067F" w:rsidRDefault="004E31F4" w:rsidP="00CA067F">
      <w:pPr>
        <w:spacing w:after="0"/>
        <w:contextualSpacing/>
        <w:rPr>
          <w:rFonts w:ascii="Verdana" w:hAnsi="Verdana"/>
          <w:sz w:val="24"/>
          <w:szCs w:val="24"/>
        </w:rPr>
      </w:pPr>
    </w:p>
    <w:p w:rsidR="004E31F4" w:rsidRPr="00CA067F" w:rsidRDefault="004E31F4" w:rsidP="00CA067F">
      <w:pPr>
        <w:numPr>
          <w:ilvl w:val="0"/>
          <w:numId w:val="2"/>
        </w:numPr>
        <w:spacing w:after="0"/>
        <w:ind w:hanging="294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W braku odmiennej umowy przyjmującemu zamówienie przy umowie o dzieło należy się wynagrodzenie w chwili</w:t>
      </w:r>
      <w:r w:rsidRPr="00CA067F">
        <w:rPr>
          <w:rFonts w:ascii="Verdana" w:hAnsi="Verdana"/>
          <w:sz w:val="24"/>
          <w:szCs w:val="24"/>
        </w:rPr>
        <w:t>:</w:t>
      </w:r>
    </w:p>
    <w:p w:rsidR="004E31F4" w:rsidRPr="00CA067F" w:rsidRDefault="004E31F4" w:rsidP="00CA067F">
      <w:pPr>
        <w:numPr>
          <w:ilvl w:val="0"/>
          <w:numId w:val="8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przyjęcia zamówienia;</w:t>
      </w:r>
    </w:p>
    <w:p w:rsidR="004E31F4" w:rsidRPr="00CA067F" w:rsidRDefault="004E31F4" w:rsidP="00CA067F">
      <w:pPr>
        <w:numPr>
          <w:ilvl w:val="0"/>
          <w:numId w:val="8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oddania dzieła</w:t>
      </w:r>
      <w:r w:rsidRPr="00CA067F">
        <w:rPr>
          <w:rFonts w:ascii="Verdana" w:hAnsi="Verdana"/>
          <w:sz w:val="24"/>
          <w:szCs w:val="24"/>
        </w:rPr>
        <w:t>;</w:t>
      </w:r>
    </w:p>
    <w:p w:rsidR="004E31F4" w:rsidRPr="00CA067F" w:rsidRDefault="004E31F4" w:rsidP="00CA067F">
      <w:pPr>
        <w:numPr>
          <w:ilvl w:val="0"/>
          <w:numId w:val="8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wezwania zamawiającego przez przyjmującego do odbioru dzieła.</w:t>
      </w:r>
    </w:p>
    <w:p w:rsidR="004E31F4" w:rsidRPr="00CA067F" w:rsidRDefault="004E31F4" w:rsidP="00CA067F">
      <w:pPr>
        <w:spacing w:after="0"/>
        <w:ind w:left="1068"/>
        <w:contextualSpacing/>
        <w:rPr>
          <w:rFonts w:ascii="Verdana" w:hAnsi="Verdana"/>
          <w:sz w:val="24"/>
          <w:szCs w:val="24"/>
        </w:rPr>
      </w:pPr>
    </w:p>
    <w:p w:rsidR="004E31F4" w:rsidRPr="00CA067F" w:rsidRDefault="004E31F4" w:rsidP="00CA067F">
      <w:pPr>
        <w:numPr>
          <w:ilvl w:val="0"/>
          <w:numId w:val="2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Testament jest nieważny gdy:</w:t>
      </w:r>
    </w:p>
    <w:p w:rsidR="004E31F4" w:rsidRPr="00CA067F" w:rsidRDefault="004E31F4" w:rsidP="00CA067F">
      <w:pPr>
        <w:numPr>
          <w:ilvl w:val="0"/>
          <w:numId w:val="9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spadkodawca powołał spadkobiercę tylko do części spadku;</w:t>
      </w:r>
    </w:p>
    <w:p w:rsidR="004E31F4" w:rsidRPr="00CA067F" w:rsidRDefault="004E31F4" w:rsidP="00CA067F">
      <w:pPr>
        <w:numPr>
          <w:ilvl w:val="0"/>
          <w:numId w:val="9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zawiera rozrządzenia więcej niż jednego spadkodawcy;</w:t>
      </w:r>
    </w:p>
    <w:p w:rsidR="004E31F4" w:rsidRPr="00CA067F" w:rsidRDefault="004E31F4" w:rsidP="00CA067F">
      <w:pPr>
        <w:numPr>
          <w:ilvl w:val="0"/>
          <w:numId w:val="9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zawiera zapis zwykły uczyniony pod warunkiem.</w:t>
      </w:r>
    </w:p>
    <w:p w:rsidR="004E31F4" w:rsidRPr="00CA067F" w:rsidRDefault="004E31F4" w:rsidP="00CA067F">
      <w:pPr>
        <w:spacing w:after="0"/>
        <w:ind w:left="1080"/>
        <w:contextualSpacing/>
        <w:rPr>
          <w:rFonts w:ascii="Verdana" w:hAnsi="Verdana"/>
          <w:sz w:val="24"/>
          <w:szCs w:val="24"/>
        </w:rPr>
      </w:pPr>
    </w:p>
    <w:p w:rsidR="004E31F4" w:rsidRPr="00CA067F" w:rsidRDefault="004E31F4" w:rsidP="00CA067F">
      <w:pPr>
        <w:numPr>
          <w:ilvl w:val="0"/>
          <w:numId w:val="2"/>
        </w:numPr>
        <w:spacing w:after="0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Uprawnionym do zachowku nie jest (nie są)</w:t>
      </w:r>
      <w:r w:rsidRPr="00CA067F">
        <w:rPr>
          <w:rFonts w:ascii="Verdana" w:hAnsi="Verdana"/>
          <w:sz w:val="24"/>
          <w:szCs w:val="24"/>
        </w:rPr>
        <w:t>:</w:t>
      </w:r>
    </w:p>
    <w:p w:rsidR="004E31F4" w:rsidRPr="00CA067F" w:rsidRDefault="004E31F4" w:rsidP="00CA067F">
      <w:pPr>
        <w:numPr>
          <w:ilvl w:val="0"/>
          <w:numId w:val="10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rodzeństwo;</w:t>
      </w:r>
    </w:p>
    <w:p w:rsidR="004E31F4" w:rsidRPr="00CA067F" w:rsidRDefault="004E31F4" w:rsidP="00CA067F">
      <w:pPr>
        <w:numPr>
          <w:ilvl w:val="0"/>
          <w:numId w:val="10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małżonek</w:t>
      </w:r>
      <w:r w:rsidRPr="00CA067F">
        <w:rPr>
          <w:rFonts w:ascii="Verdana" w:hAnsi="Verdana"/>
          <w:sz w:val="24"/>
          <w:szCs w:val="24"/>
        </w:rPr>
        <w:t>;</w:t>
      </w:r>
    </w:p>
    <w:p w:rsidR="004E31F4" w:rsidRPr="00CA067F" w:rsidRDefault="004E31F4" w:rsidP="00CA067F">
      <w:pPr>
        <w:numPr>
          <w:ilvl w:val="0"/>
          <w:numId w:val="10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rodzice.</w:t>
      </w:r>
    </w:p>
    <w:p w:rsidR="004E31F4" w:rsidRPr="00CA067F" w:rsidRDefault="004E31F4" w:rsidP="00CA067F">
      <w:pPr>
        <w:spacing w:after="0"/>
        <w:ind w:left="1080"/>
        <w:contextualSpacing/>
        <w:rPr>
          <w:rFonts w:ascii="Verdana" w:hAnsi="Verdana"/>
          <w:sz w:val="24"/>
          <w:szCs w:val="24"/>
          <w:u w:val="single"/>
        </w:rPr>
      </w:pPr>
    </w:p>
    <w:p w:rsidR="004E31F4" w:rsidRPr="00CA067F" w:rsidRDefault="004E31F4" w:rsidP="00CA067F">
      <w:pPr>
        <w:numPr>
          <w:ilvl w:val="0"/>
          <w:numId w:val="2"/>
        </w:numPr>
        <w:spacing w:after="0"/>
        <w:ind w:left="567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 xml:space="preserve">Przeciwko wstąpieniu do sprawy interwenienta ubocznego można złożyć: </w:t>
      </w:r>
    </w:p>
    <w:p w:rsidR="004E31F4" w:rsidRPr="00CA067F" w:rsidRDefault="003C2CBF" w:rsidP="00CA067F">
      <w:pPr>
        <w:numPr>
          <w:ilvl w:val="0"/>
          <w:numId w:val="11"/>
        </w:numPr>
        <w:spacing w:after="0"/>
        <w:contextualSpacing/>
        <w:rPr>
          <w:rFonts w:ascii="Verdana" w:hAnsi="Verdana"/>
          <w:sz w:val="24"/>
          <w:szCs w:val="24"/>
          <w:u w:val="single"/>
        </w:rPr>
      </w:pPr>
      <w:r w:rsidRPr="00CA067F">
        <w:rPr>
          <w:rFonts w:ascii="Verdana" w:hAnsi="Verdana"/>
          <w:sz w:val="24"/>
          <w:szCs w:val="24"/>
        </w:rPr>
        <w:t>z</w:t>
      </w:r>
      <w:r w:rsidR="004E31F4" w:rsidRPr="00CA067F">
        <w:rPr>
          <w:rFonts w:ascii="Verdana" w:hAnsi="Verdana"/>
          <w:sz w:val="24"/>
          <w:szCs w:val="24"/>
        </w:rPr>
        <w:t>ażalenie</w:t>
      </w:r>
      <w:r w:rsidRPr="00CA067F">
        <w:rPr>
          <w:rFonts w:ascii="Verdana" w:hAnsi="Verdana"/>
          <w:sz w:val="24"/>
          <w:szCs w:val="24"/>
        </w:rPr>
        <w:t>;</w:t>
      </w:r>
    </w:p>
    <w:p w:rsidR="004E31F4" w:rsidRPr="00CA067F" w:rsidRDefault="004E31F4" w:rsidP="00CA067F">
      <w:pPr>
        <w:numPr>
          <w:ilvl w:val="0"/>
          <w:numId w:val="11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opozycję;</w:t>
      </w:r>
    </w:p>
    <w:p w:rsidR="004E31F4" w:rsidRPr="00CA067F" w:rsidRDefault="004E31F4" w:rsidP="00CA067F">
      <w:pPr>
        <w:numPr>
          <w:ilvl w:val="0"/>
          <w:numId w:val="11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zarzuty.</w:t>
      </w:r>
    </w:p>
    <w:p w:rsidR="004E31F4" w:rsidRPr="00CA067F" w:rsidRDefault="004E31F4" w:rsidP="00CA067F">
      <w:pPr>
        <w:spacing w:after="0"/>
        <w:ind w:left="1080"/>
        <w:contextualSpacing/>
        <w:rPr>
          <w:rFonts w:ascii="Verdana" w:hAnsi="Verdana"/>
          <w:sz w:val="24"/>
          <w:szCs w:val="24"/>
        </w:rPr>
      </w:pPr>
    </w:p>
    <w:p w:rsidR="004E31F4" w:rsidRPr="00CA067F" w:rsidRDefault="004E31F4" w:rsidP="00CA067F">
      <w:pPr>
        <w:pStyle w:val="Akapitzlist"/>
        <w:numPr>
          <w:ilvl w:val="0"/>
          <w:numId w:val="2"/>
        </w:numPr>
        <w:spacing w:after="0"/>
        <w:ind w:left="567"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Podczas zawieszenia postępowania sąd może:</w:t>
      </w:r>
    </w:p>
    <w:p w:rsidR="004E31F4" w:rsidRPr="00CA067F" w:rsidRDefault="004E31F4" w:rsidP="00CA067F">
      <w:pPr>
        <w:numPr>
          <w:ilvl w:val="0"/>
          <w:numId w:val="12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skierować strony do mediacji;</w:t>
      </w:r>
    </w:p>
    <w:p w:rsidR="004E31F4" w:rsidRPr="00CA067F" w:rsidRDefault="004E31F4" w:rsidP="00CA067F">
      <w:pPr>
        <w:numPr>
          <w:ilvl w:val="0"/>
          <w:numId w:val="12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wyznaczyć posiedzenie przygotowawcze;</w:t>
      </w:r>
    </w:p>
    <w:p w:rsidR="004E31F4" w:rsidRPr="00CA067F" w:rsidRDefault="004E31F4" w:rsidP="00CA067F">
      <w:pPr>
        <w:numPr>
          <w:ilvl w:val="0"/>
          <w:numId w:val="12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zabezpieczyć powództwo.</w:t>
      </w:r>
    </w:p>
    <w:p w:rsidR="004E31F4" w:rsidRPr="00CA067F" w:rsidRDefault="004E31F4" w:rsidP="00CA067F">
      <w:pPr>
        <w:spacing w:after="0"/>
        <w:ind w:left="1080"/>
        <w:contextualSpacing/>
        <w:rPr>
          <w:rFonts w:ascii="Verdana" w:hAnsi="Verdana"/>
          <w:sz w:val="24"/>
          <w:szCs w:val="24"/>
        </w:rPr>
      </w:pPr>
    </w:p>
    <w:p w:rsidR="004E31F4" w:rsidRPr="00CA067F" w:rsidRDefault="004E31F4" w:rsidP="00CA067F">
      <w:pPr>
        <w:numPr>
          <w:ilvl w:val="0"/>
          <w:numId w:val="2"/>
        </w:numPr>
        <w:spacing w:after="0"/>
        <w:ind w:left="567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Od wydanego przez sąd drugiej instancji prawomocnego wyroku służy:</w:t>
      </w:r>
    </w:p>
    <w:p w:rsidR="004E31F4" w:rsidRPr="00CA067F" w:rsidRDefault="004E31F4" w:rsidP="00CA067F">
      <w:pPr>
        <w:numPr>
          <w:ilvl w:val="0"/>
          <w:numId w:val="13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kasacja;</w:t>
      </w:r>
    </w:p>
    <w:p w:rsidR="004E31F4" w:rsidRPr="00CA067F" w:rsidRDefault="004E31F4" w:rsidP="00CA067F">
      <w:pPr>
        <w:numPr>
          <w:ilvl w:val="0"/>
          <w:numId w:val="13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skarga kasacyjna</w:t>
      </w:r>
      <w:r w:rsidR="003C2CBF" w:rsidRPr="00CA067F">
        <w:rPr>
          <w:rFonts w:ascii="Verdana" w:hAnsi="Verdana"/>
          <w:sz w:val="24"/>
          <w:szCs w:val="24"/>
        </w:rPr>
        <w:t>;</w:t>
      </w:r>
    </w:p>
    <w:p w:rsidR="004E31F4" w:rsidRPr="00CA067F" w:rsidRDefault="004E31F4" w:rsidP="00CA067F">
      <w:pPr>
        <w:numPr>
          <w:ilvl w:val="0"/>
          <w:numId w:val="13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rewizja nadzwyczajna.</w:t>
      </w:r>
    </w:p>
    <w:p w:rsidR="004E31F4" w:rsidRDefault="004E31F4" w:rsidP="00CA067F">
      <w:pPr>
        <w:spacing w:after="0"/>
        <w:ind w:left="1080"/>
        <w:contextualSpacing/>
        <w:rPr>
          <w:rFonts w:ascii="Verdana" w:hAnsi="Verdana"/>
          <w:sz w:val="24"/>
          <w:szCs w:val="24"/>
        </w:rPr>
      </w:pPr>
    </w:p>
    <w:p w:rsidR="00F8076D" w:rsidRDefault="00F8076D" w:rsidP="00CA067F">
      <w:pPr>
        <w:spacing w:after="0"/>
        <w:ind w:left="1080"/>
        <w:contextualSpacing/>
        <w:rPr>
          <w:rFonts w:ascii="Verdana" w:hAnsi="Verdana"/>
          <w:sz w:val="24"/>
          <w:szCs w:val="24"/>
        </w:rPr>
      </w:pPr>
    </w:p>
    <w:p w:rsidR="00F8076D" w:rsidRPr="00CA067F" w:rsidRDefault="00F8076D" w:rsidP="00CA067F">
      <w:pPr>
        <w:spacing w:after="0"/>
        <w:ind w:left="1080"/>
        <w:contextualSpacing/>
        <w:rPr>
          <w:rFonts w:ascii="Verdana" w:hAnsi="Verdana"/>
          <w:sz w:val="24"/>
          <w:szCs w:val="24"/>
        </w:rPr>
      </w:pPr>
    </w:p>
    <w:p w:rsidR="004E31F4" w:rsidRPr="00CA067F" w:rsidRDefault="004E31F4" w:rsidP="00CA067F">
      <w:pPr>
        <w:numPr>
          <w:ilvl w:val="0"/>
          <w:numId w:val="2"/>
        </w:numPr>
        <w:spacing w:after="0"/>
        <w:ind w:left="567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lastRenderedPageBreak/>
        <w:t xml:space="preserve"> Sąd odrzuci pozew gdy:</w:t>
      </w:r>
    </w:p>
    <w:p w:rsidR="004E31F4" w:rsidRPr="00CA067F" w:rsidRDefault="004E31F4" w:rsidP="00CA067F">
      <w:pPr>
        <w:numPr>
          <w:ilvl w:val="0"/>
          <w:numId w:val="14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stwierdzi swą niewłaściwość rzeczową</w:t>
      </w:r>
      <w:r w:rsidR="003C2CBF" w:rsidRPr="00CA067F">
        <w:rPr>
          <w:rFonts w:ascii="Verdana" w:hAnsi="Verdana"/>
          <w:sz w:val="24"/>
          <w:szCs w:val="24"/>
        </w:rPr>
        <w:t>;</w:t>
      </w:r>
    </w:p>
    <w:p w:rsidR="004E31F4" w:rsidRPr="00CA067F" w:rsidRDefault="004E31F4" w:rsidP="00CA067F">
      <w:pPr>
        <w:numPr>
          <w:ilvl w:val="0"/>
          <w:numId w:val="14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roszczenie powoda jest przedawnione;</w:t>
      </w:r>
    </w:p>
    <w:p w:rsidR="004E31F4" w:rsidRPr="00CA067F" w:rsidRDefault="004E31F4" w:rsidP="00CA067F">
      <w:pPr>
        <w:numPr>
          <w:ilvl w:val="0"/>
          <w:numId w:val="14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droga sądowa jest niedopuszczalna.</w:t>
      </w:r>
    </w:p>
    <w:p w:rsidR="00CA067F" w:rsidRPr="00CA067F" w:rsidRDefault="00CA067F" w:rsidP="00CA067F">
      <w:pPr>
        <w:spacing w:after="0"/>
        <w:ind w:left="1080"/>
        <w:contextualSpacing/>
        <w:rPr>
          <w:rFonts w:ascii="Verdana" w:hAnsi="Verdana"/>
          <w:sz w:val="24"/>
          <w:szCs w:val="24"/>
          <w:u w:val="single"/>
        </w:rPr>
      </w:pPr>
    </w:p>
    <w:p w:rsidR="004E31F4" w:rsidRPr="00CA067F" w:rsidRDefault="004E31F4" w:rsidP="00CA067F">
      <w:pPr>
        <w:numPr>
          <w:ilvl w:val="0"/>
          <w:numId w:val="2"/>
        </w:numPr>
        <w:spacing w:after="0"/>
        <w:ind w:left="567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 xml:space="preserve"> Apelacja od wyroku sądu pierwszej instancji złożona bez uprzedniego żądania uzasadnienia wyroku:</w:t>
      </w:r>
    </w:p>
    <w:p w:rsidR="004E31F4" w:rsidRPr="00CA067F" w:rsidRDefault="004E31F4" w:rsidP="00CA067F">
      <w:pPr>
        <w:numPr>
          <w:ilvl w:val="0"/>
          <w:numId w:val="15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podlega odrzuceniu</w:t>
      </w:r>
      <w:r w:rsidR="003C2CBF" w:rsidRPr="00CA067F">
        <w:rPr>
          <w:rFonts w:ascii="Verdana" w:hAnsi="Verdana"/>
          <w:sz w:val="24"/>
          <w:szCs w:val="24"/>
        </w:rPr>
        <w:t>;</w:t>
      </w:r>
    </w:p>
    <w:p w:rsidR="004E31F4" w:rsidRPr="00CA067F" w:rsidRDefault="004E31F4" w:rsidP="00CA067F">
      <w:pPr>
        <w:numPr>
          <w:ilvl w:val="0"/>
          <w:numId w:val="15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jest skuteczna, o ile wniesiono ją w terminie 14 dni od upływu terminu do żądania uzasadnienia wyroku</w:t>
      </w:r>
      <w:r w:rsidR="003C2CBF" w:rsidRPr="00CA067F">
        <w:rPr>
          <w:rFonts w:ascii="Verdana" w:hAnsi="Verdana"/>
          <w:sz w:val="24"/>
          <w:szCs w:val="24"/>
        </w:rPr>
        <w:t>;</w:t>
      </w:r>
    </w:p>
    <w:p w:rsidR="004E31F4" w:rsidRPr="00CA067F" w:rsidRDefault="004E31F4" w:rsidP="00CA067F">
      <w:pPr>
        <w:numPr>
          <w:ilvl w:val="0"/>
          <w:numId w:val="15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podlega wezwaniu strony do złożenia wniosku o uzasadnienie wyroku w terminie 7 dni pod rygorem odrzucenia apelacji.</w:t>
      </w:r>
    </w:p>
    <w:p w:rsidR="004E31F4" w:rsidRPr="00CA067F" w:rsidRDefault="004E31F4" w:rsidP="00CA067F">
      <w:pPr>
        <w:spacing w:after="0"/>
        <w:ind w:left="1080"/>
        <w:contextualSpacing/>
        <w:rPr>
          <w:rFonts w:ascii="Verdana" w:hAnsi="Verdana"/>
          <w:sz w:val="24"/>
          <w:szCs w:val="24"/>
        </w:rPr>
      </w:pPr>
    </w:p>
    <w:p w:rsidR="004E31F4" w:rsidRPr="00CA067F" w:rsidRDefault="004E31F4" w:rsidP="00CA067F">
      <w:pPr>
        <w:numPr>
          <w:ilvl w:val="0"/>
          <w:numId w:val="2"/>
        </w:numPr>
        <w:spacing w:after="0"/>
        <w:ind w:left="567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Referendarz sądowy nie jest uprawniony do</w:t>
      </w:r>
      <w:r w:rsidRPr="00CA067F">
        <w:rPr>
          <w:rFonts w:ascii="Verdana" w:hAnsi="Verdana"/>
          <w:sz w:val="24"/>
          <w:szCs w:val="24"/>
        </w:rPr>
        <w:t>:</w:t>
      </w:r>
    </w:p>
    <w:p w:rsidR="004E31F4" w:rsidRPr="00CA067F" w:rsidRDefault="004E31F4" w:rsidP="00CA067F">
      <w:pPr>
        <w:numPr>
          <w:ilvl w:val="0"/>
          <w:numId w:val="16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wydania nakazu zapłaty w postępowaniu upominawczym</w:t>
      </w:r>
      <w:r w:rsidR="003C2CBF" w:rsidRPr="00CA067F">
        <w:rPr>
          <w:rFonts w:ascii="Verdana" w:hAnsi="Verdana"/>
          <w:sz w:val="24"/>
          <w:szCs w:val="24"/>
        </w:rPr>
        <w:t>;</w:t>
      </w:r>
    </w:p>
    <w:p w:rsidR="004E31F4" w:rsidRPr="00CA067F" w:rsidRDefault="004E31F4" w:rsidP="00CA067F">
      <w:pPr>
        <w:numPr>
          <w:ilvl w:val="0"/>
          <w:numId w:val="16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wydania nakazu zapłaty w postępowaniu nakazowym</w:t>
      </w:r>
      <w:r w:rsidR="003C2CBF" w:rsidRPr="00CA067F">
        <w:rPr>
          <w:rFonts w:ascii="Verdana" w:hAnsi="Verdana"/>
          <w:sz w:val="24"/>
          <w:szCs w:val="24"/>
        </w:rPr>
        <w:t>;</w:t>
      </w:r>
    </w:p>
    <w:p w:rsidR="004E31F4" w:rsidRPr="00CA067F" w:rsidRDefault="004E31F4" w:rsidP="00CA067F">
      <w:pPr>
        <w:numPr>
          <w:ilvl w:val="0"/>
          <w:numId w:val="16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rozpoznania wniosku o zabezpieczenie powództwa.</w:t>
      </w:r>
    </w:p>
    <w:p w:rsidR="004E31F4" w:rsidRPr="00CA067F" w:rsidRDefault="004E31F4" w:rsidP="00CA067F">
      <w:pPr>
        <w:spacing w:after="0"/>
        <w:ind w:left="1080"/>
        <w:contextualSpacing/>
        <w:rPr>
          <w:rFonts w:ascii="Verdana" w:hAnsi="Verdana"/>
          <w:sz w:val="24"/>
          <w:szCs w:val="24"/>
        </w:rPr>
      </w:pPr>
    </w:p>
    <w:p w:rsidR="004E31F4" w:rsidRPr="00CA067F" w:rsidRDefault="004E31F4" w:rsidP="00CA067F">
      <w:pPr>
        <w:numPr>
          <w:ilvl w:val="0"/>
          <w:numId w:val="2"/>
        </w:numPr>
        <w:spacing w:after="0"/>
        <w:ind w:left="567"/>
        <w:contextualSpacing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 xml:space="preserve"> Zażalenie do innego składu sądu pierwszej instancji przysługuje na postanowienie tego sądu, którego przedmiotem jest:</w:t>
      </w:r>
    </w:p>
    <w:p w:rsidR="004E31F4" w:rsidRPr="00CA067F" w:rsidRDefault="004E31F4" w:rsidP="00CA067F">
      <w:pPr>
        <w:numPr>
          <w:ilvl w:val="0"/>
          <w:numId w:val="17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odmowa uzasadnienia orzeczenia</w:t>
      </w:r>
      <w:r w:rsidR="003C2CBF" w:rsidRPr="00CA067F">
        <w:rPr>
          <w:rFonts w:ascii="Verdana" w:hAnsi="Verdana"/>
          <w:sz w:val="24"/>
          <w:szCs w:val="24"/>
        </w:rPr>
        <w:t>;</w:t>
      </w:r>
    </w:p>
    <w:p w:rsidR="004E31F4" w:rsidRPr="00CA067F" w:rsidRDefault="004E31F4" w:rsidP="00CA067F">
      <w:pPr>
        <w:numPr>
          <w:ilvl w:val="0"/>
          <w:numId w:val="17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odmowa odrzucenia pozwu</w:t>
      </w:r>
      <w:r w:rsidR="003C2CBF" w:rsidRPr="00CA067F">
        <w:rPr>
          <w:rFonts w:ascii="Verdana" w:hAnsi="Verdana"/>
          <w:sz w:val="24"/>
          <w:szCs w:val="24"/>
        </w:rPr>
        <w:t>;</w:t>
      </w:r>
    </w:p>
    <w:p w:rsidR="004E31F4" w:rsidRPr="00CA067F" w:rsidRDefault="004E31F4" w:rsidP="00CA067F">
      <w:pPr>
        <w:numPr>
          <w:ilvl w:val="0"/>
          <w:numId w:val="17"/>
        </w:numPr>
        <w:spacing w:after="0"/>
        <w:contextualSpacing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zawieszenie postępowania.</w:t>
      </w:r>
    </w:p>
    <w:p w:rsidR="004E31F4" w:rsidRPr="00CA067F" w:rsidRDefault="004E31F4" w:rsidP="00CA067F">
      <w:pPr>
        <w:spacing w:after="0"/>
        <w:ind w:left="1080"/>
        <w:contextualSpacing/>
        <w:rPr>
          <w:rFonts w:ascii="Verdana" w:hAnsi="Verdana"/>
          <w:sz w:val="24"/>
          <w:szCs w:val="24"/>
          <w:u w:val="single"/>
        </w:rPr>
      </w:pPr>
    </w:p>
    <w:p w:rsidR="004E31F4" w:rsidRPr="00CA067F" w:rsidRDefault="004E31F4" w:rsidP="00CA067F">
      <w:pPr>
        <w:pStyle w:val="Akapitzlist"/>
        <w:numPr>
          <w:ilvl w:val="0"/>
          <w:numId w:val="2"/>
        </w:numPr>
        <w:spacing w:after="0"/>
        <w:ind w:left="567"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 xml:space="preserve"> Od zarządzenia asystenta sędziego o wezwaniu do uiszczenia opłaty, strona może wnieść:</w:t>
      </w:r>
    </w:p>
    <w:p w:rsidR="004E31F4" w:rsidRPr="00CA067F" w:rsidRDefault="003C2CBF" w:rsidP="00CA067F">
      <w:pPr>
        <w:pStyle w:val="Akapitzlist"/>
        <w:numPr>
          <w:ilvl w:val="0"/>
          <w:numId w:val="18"/>
        </w:numPr>
        <w:spacing w:after="0"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z</w:t>
      </w:r>
      <w:r w:rsidR="004E31F4" w:rsidRPr="00CA067F">
        <w:rPr>
          <w:rFonts w:ascii="Verdana" w:eastAsia="Times New Roman" w:hAnsi="Verdana"/>
          <w:sz w:val="24"/>
          <w:szCs w:val="24"/>
          <w:lang w:eastAsia="pl-PL"/>
        </w:rPr>
        <w:t>astrzeżenie</w:t>
      </w:r>
      <w:r w:rsidRPr="00CA067F">
        <w:rPr>
          <w:rFonts w:ascii="Verdana" w:eastAsia="Times New Roman" w:hAnsi="Verdana"/>
          <w:sz w:val="24"/>
          <w:szCs w:val="24"/>
          <w:lang w:eastAsia="pl-PL"/>
        </w:rPr>
        <w:t>;</w:t>
      </w:r>
    </w:p>
    <w:p w:rsidR="004E31F4" w:rsidRPr="00CA067F" w:rsidRDefault="003C2CBF" w:rsidP="00CA067F">
      <w:pPr>
        <w:pStyle w:val="Akapitzlist"/>
        <w:numPr>
          <w:ilvl w:val="0"/>
          <w:numId w:val="18"/>
        </w:numPr>
        <w:spacing w:after="0"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z</w:t>
      </w:r>
      <w:r w:rsidR="004E31F4" w:rsidRPr="00CA067F">
        <w:rPr>
          <w:rFonts w:ascii="Verdana" w:eastAsia="Times New Roman" w:hAnsi="Verdana"/>
          <w:sz w:val="24"/>
          <w:szCs w:val="24"/>
          <w:lang w:eastAsia="pl-PL"/>
        </w:rPr>
        <w:t>arzut</w:t>
      </w:r>
      <w:r w:rsidRPr="00CA067F">
        <w:rPr>
          <w:rFonts w:ascii="Verdana" w:eastAsia="Times New Roman" w:hAnsi="Verdana"/>
          <w:sz w:val="24"/>
          <w:szCs w:val="24"/>
          <w:lang w:eastAsia="pl-PL"/>
        </w:rPr>
        <w:t>;</w:t>
      </w:r>
    </w:p>
    <w:p w:rsidR="004E31F4" w:rsidRPr="00CA067F" w:rsidRDefault="004E31F4" w:rsidP="00CA067F">
      <w:pPr>
        <w:pStyle w:val="Akapitzlist"/>
        <w:numPr>
          <w:ilvl w:val="0"/>
          <w:numId w:val="18"/>
        </w:numPr>
        <w:spacing w:after="0"/>
        <w:rPr>
          <w:rFonts w:ascii="Verdana" w:eastAsia="Times New Roman" w:hAnsi="Verdana"/>
          <w:sz w:val="24"/>
          <w:szCs w:val="24"/>
          <w:lang w:eastAsia="pl-PL"/>
        </w:rPr>
      </w:pPr>
      <w:r w:rsidRPr="00CA067F">
        <w:rPr>
          <w:rFonts w:ascii="Verdana" w:eastAsia="Times New Roman" w:hAnsi="Verdana"/>
          <w:sz w:val="24"/>
          <w:szCs w:val="24"/>
          <w:lang w:eastAsia="pl-PL"/>
        </w:rPr>
        <w:t>sprzeciw.</w:t>
      </w:r>
    </w:p>
    <w:p w:rsidR="004E31F4" w:rsidRPr="00CA067F" w:rsidRDefault="004E31F4" w:rsidP="00CA067F">
      <w:pPr>
        <w:pStyle w:val="Akapitzlist"/>
        <w:spacing w:after="0"/>
        <w:ind w:left="1080"/>
        <w:rPr>
          <w:rFonts w:ascii="Verdana" w:eastAsia="Times New Roman" w:hAnsi="Verdana"/>
          <w:sz w:val="24"/>
          <w:szCs w:val="24"/>
          <w:lang w:eastAsia="pl-PL"/>
        </w:rPr>
      </w:pPr>
    </w:p>
    <w:p w:rsidR="003C2CBF" w:rsidRPr="00CA067F" w:rsidRDefault="004E31F4" w:rsidP="00CA067F">
      <w:pPr>
        <w:pStyle w:val="Akapitzlist"/>
        <w:numPr>
          <w:ilvl w:val="0"/>
          <w:numId w:val="2"/>
        </w:numPr>
        <w:spacing w:after="160" w:line="259" w:lineRule="auto"/>
        <w:ind w:left="567"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Spóźniony wniosek o przywrócenie terminu podlega</w:t>
      </w:r>
      <w:r w:rsidR="003C2CBF" w:rsidRPr="00CA067F">
        <w:rPr>
          <w:rFonts w:ascii="Verdana" w:hAnsi="Verdana"/>
          <w:sz w:val="24"/>
          <w:szCs w:val="24"/>
        </w:rPr>
        <w:t>:</w:t>
      </w:r>
    </w:p>
    <w:p w:rsidR="003C2CBF" w:rsidRPr="00CA067F" w:rsidRDefault="004E31F4" w:rsidP="00CA067F">
      <w:pPr>
        <w:pStyle w:val="Akapitzlist"/>
        <w:numPr>
          <w:ilvl w:val="0"/>
          <w:numId w:val="20"/>
        </w:numPr>
        <w:spacing w:after="160" w:line="259" w:lineRule="auto"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zwrotowi</w:t>
      </w:r>
      <w:r w:rsidR="003C2CBF" w:rsidRPr="00CA067F">
        <w:rPr>
          <w:rFonts w:ascii="Verdana" w:hAnsi="Verdana"/>
          <w:sz w:val="24"/>
          <w:szCs w:val="24"/>
        </w:rPr>
        <w:t>;</w:t>
      </w:r>
    </w:p>
    <w:p w:rsidR="003C2CBF" w:rsidRPr="00CA067F" w:rsidRDefault="004E31F4" w:rsidP="00CA067F">
      <w:pPr>
        <w:pStyle w:val="Akapitzlist"/>
        <w:numPr>
          <w:ilvl w:val="0"/>
          <w:numId w:val="20"/>
        </w:numPr>
        <w:spacing w:after="160" w:line="259" w:lineRule="auto"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odrzuceniu</w:t>
      </w:r>
      <w:r w:rsidR="003C2CBF" w:rsidRPr="00CA067F">
        <w:rPr>
          <w:rFonts w:ascii="Verdana" w:hAnsi="Verdana"/>
          <w:sz w:val="24"/>
          <w:szCs w:val="24"/>
        </w:rPr>
        <w:t>;</w:t>
      </w:r>
    </w:p>
    <w:p w:rsidR="00592717" w:rsidRPr="00F8076D" w:rsidRDefault="004E31F4" w:rsidP="00CA067F">
      <w:pPr>
        <w:pStyle w:val="Akapitzlist"/>
        <w:numPr>
          <w:ilvl w:val="0"/>
          <w:numId w:val="20"/>
        </w:numPr>
        <w:spacing w:after="160" w:line="259" w:lineRule="auto"/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oddaleniu.</w:t>
      </w:r>
    </w:p>
    <w:p w:rsidR="00EF719E" w:rsidRPr="00CA067F" w:rsidRDefault="00CA067F" w:rsidP="00CA067F">
      <w:pPr>
        <w:rPr>
          <w:rFonts w:ascii="Verdana" w:hAnsi="Verdana"/>
          <w:sz w:val="24"/>
          <w:szCs w:val="24"/>
        </w:rPr>
      </w:pPr>
      <w:r w:rsidRPr="00CA067F">
        <w:rPr>
          <w:rFonts w:ascii="Verdana" w:hAnsi="Verdana"/>
          <w:sz w:val="24"/>
          <w:szCs w:val="24"/>
        </w:rPr>
        <w:t>Pytania z zakresu prawa karnego oraz postępowania karnego</w:t>
      </w:r>
    </w:p>
    <w:p w:rsidR="00EF719E" w:rsidRPr="00CA067F" w:rsidRDefault="00EF719E" w:rsidP="00CA067F">
      <w:pPr>
        <w:spacing w:after="0" w:line="240" w:lineRule="auto"/>
        <w:rPr>
          <w:rFonts w:ascii="Verdana" w:hAnsi="Verdana"/>
          <w:sz w:val="24"/>
          <w:szCs w:val="24"/>
        </w:rPr>
      </w:pPr>
    </w:p>
    <w:p w:rsidR="009A7A92" w:rsidRPr="00CA067F" w:rsidRDefault="005B7D88" w:rsidP="00CA067F">
      <w:pPr>
        <w:pStyle w:val="Akapitzlist"/>
        <w:numPr>
          <w:ilvl w:val="0"/>
          <w:numId w:val="2"/>
        </w:numPr>
        <w:spacing w:after="0" w:line="240" w:lineRule="auto"/>
        <w:ind w:left="567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 xml:space="preserve">W stosunku do sprawcy występku o charakterze chuligańskim sąd: </w:t>
      </w:r>
    </w:p>
    <w:p w:rsidR="009A7A92" w:rsidRPr="00CA067F" w:rsidRDefault="005B7D88" w:rsidP="00CA067F">
      <w:pPr>
        <w:pStyle w:val="Akapitzlist"/>
        <w:numPr>
          <w:ilvl w:val="0"/>
          <w:numId w:val="31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może warunkowo zawiesić wykonanie kary pozbawienia wolności na okres nie krótszy niż 3 lata</w:t>
      </w:r>
      <w:r w:rsidR="009A7A92" w:rsidRPr="00CA067F">
        <w:rPr>
          <w:rFonts w:ascii="Verdana" w:hAnsi="Verdana"/>
          <w:color w:val="000000"/>
          <w:sz w:val="24"/>
          <w:szCs w:val="24"/>
        </w:rPr>
        <w:t>;</w:t>
      </w:r>
    </w:p>
    <w:p w:rsidR="009A7A92" w:rsidRPr="00CA067F" w:rsidRDefault="005B7D88" w:rsidP="00CA067F">
      <w:pPr>
        <w:pStyle w:val="Akapitzlist"/>
        <w:numPr>
          <w:ilvl w:val="0"/>
          <w:numId w:val="31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nie może warunkowo zawiesić wykonania kary pozbawienia wolności</w:t>
      </w:r>
      <w:r w:rsidR="009A7A92" w:rsidRPr="00CA067F">
        <w:rPr>
          <w:rFonts w:ascii="Verdana" w:hAnsi="Verdana"/>
          <w:color w:val="000000"/>
          <w:sz w:val="24"/>
          <w:szCs w:val="24"/>
        </w:rPr>
        <w:t>;</w:t>
      </w:r>
    </w:p>
    <w:p w:rsidR="005B7D88" w:rsidRPr="00CA067F" w:rsidRDefault="005B7D88" w:rsidP="00CA067F">
      <w:pPr>
        <w:pStyle w:val="Akapitzlist"/>
        <w:numPr>
          <w:ilvl w:val="0"/>
          <w:numId w:val="31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może warunkowo zawiesić wykonanie kary pozbawienia wolności w szczególnie uzasadnionych wypadkach</w:t>
      </w:r>
      <w:r w:rsidR="009A7A92" w:rsidRPr="00CA067F">
        <w:rPr>
          <w:rFonts w:ascii="Verdana" w:hAnsi="Verdana"/>
          <w:color w:val="000000"/>
          <w:sz w:val="24"/>
          <w:szCs w:val="24"/>
        </w:rPr>
        <w:t>.</w:t>
      </w:r>
    </w:p>
    <w:p w:rsidR="005B7D88" w:rsidRDefault="005B7D88" w:rsidP="00CA067F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:rsidR="00CA067F" w:rsidRDefault="00CA067F" w:rsidP="00CA067F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:rsidR="00CA067F" w:rsidRPr="00CA067F" w:rsidRDefault="00CA067F" w:rsidP="00CA067F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:rsidR="009A7A92" w:rsidRPr="00CA067F" w:rsidRDefault="005B7D88" w:rsidP="00CA067F">
      <w:pPr>
        <w:pStyle w:val="Akapitzlist"/>
        <w:numPr>
          <w:ilvl w:val="0"/>
          <w:numId w:val="2"/>
        </w:numPr>
        <w:spacing w:after="0" w:line="240" w:lineRule="auto"/>
        <w:ind w:left="567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 xml:space="preserve">Skazany w warunkach art. 64§2 kk: </w:t>
      </w:r>
    </w:p>
    <w:p w:rsidR="009A7A92" w:rsidRPr="00CA067F" w:rsidRDefault="005B7D88" w:rsidP="00CA067F">
      <w:pPr>
        <w:pStyle w:val="Akapitzlist"/>
        <w:numPr>
          <w:ilvl w:val="0"/>
          <w:numId w:val="32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nie podlega warunkowemu zwolnieniu</w:t>
      </w:r>
      <w:r w:rsidR="009A7A92" w:rsidRPr="00CA067F">
        <w:rPr>
          <w:rFonts w:ascii="Verdana" w:hAnsi="Verdana"/>
          <w:color w:val="000000"/>
          <w:sz w:val="24"/>
          <w:szCs w:val="24"/>
        </w:rPr>
        <w:t>;</w:t>
      </w:r>
    </w:p>
    <w:p w:rsidR="009A7A92" w:rsidRPr="00CA067F" w:rsidRDefault="005B7D88" w:rsidP="00CA067F">
      <w:pPr>
        <w:pStyle w:val="Akapitzlist"/>
        <w:numPr>
          <w:ilvl w:val="0"/>
          <w:numId w:val="32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może zostać warunkowo zwolniony po odbyciu 2/3 kary</w:t>
      </w:r>
      <w:r w:rsidR="009A7A92" w:rsidRPr="00CA067F">
        <w:rPr>
          <w:rFonts w:ascii="Verdana" w:hAnsi="Verdana"/>
          <w:color w:val="000000"/>
          <w:sz w:val="24"/>
          <w:szCs w:val="24"/>
        </w:rPr>
        <w:t>;</w:t>
      </w:r>
    </w:p>
    <w:p w:rsidR="005B7D88" w:rsidRPr="00CA067F" w:rsidRDefault="005B7D88" w:rsidP="00CA067F">
      <w:pPr>
        <w:pStyle w:val="Akapitzlist"/>
        <w:numPr>
          <w:ilvl w:val="0"/>
          <w:numId w:val="32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może zostać warunkowo zwolniony po odbyciu 3/4 kary</w:t>
      </w:r>
      <w:r w:rsidR="009A7A92" w:rsidRPr="00CA067F">
        <w:rPr>
          <w:rFonts w:ascii="Verdana" w:hAnsi="Verdana"/>
          <w:color w:val="000000"/>
          <w:sz w:val="24"/>
          <w:szCs w:val="24"/>
        </w:rPr>
        <w:t>.</w:t>
      </w:r>
    </w:p>
    <w:p w:rsidR="005B7D88" w:rsidRPr="00CA067F" w:rsidRDefault="005B7D88" w:rsidP="00CA067F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:rsidR="009A7A92" w:rsidRPr="00CA067F" w:rsidRDefault="005B7D88" w:rsidP="00CA067F">
      <w:pPr>
        <w:pStyle w:val="Akapitzlist"/>
        <w:numPr>
          <w:ilvl w:val="0"/>
          <w:numId w:val="2"/>
        </w:numPr>
        <w:spacing w:after="0" w:line="240" w:lineRule="auto"/>
        <w:ind w:left="567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 xml:space="preserve">Czyn zabroniony, którego społeczna szkodliwość jest znikoma: </w:t>
      </w:r>
    </w:p>
    <w:p w:rsidR="009A7A92" w:rsidRPr="00CA067F" w:rsidRDefault="005B7D88" w:rsidP="00CA067F">
      <w:pPr>
        <w:pStyle w:val="Akapitzlist"/>
        <w:numPr>
          <w:ilvl w:val="0"/>
          <w:numId w:val="33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 xml:space="preserve">stanowi przestępstwo przy czym jest to tzw. </w:t>
      </w:r>
      <w:r w:rsidRPr="00CA067F">
        <w:rPr>
          <w:rFonts w:ascii="Verdana" w:hAnsi="Verdana"/>
          <w:i/>
          <w:color w:val="000000"/>
          <w:sz w:val="24"/>
          <w:szCs w:val="24"/>
        </w:rPr>
        <w:t>„przypadek mniejszej wagi”</w:t>
      </w:r>
      <w:r w:rsidR="009A7A92" w:rsidRPr="00CA067F">
        <w:rPr>
          <w:rFonts w:ascii="Verdana" w:hAnsi="Verdana"/>
          <w:i/>
          <w:color w:val="000000"/>
          <w:sz w:val="24"/>
          <w:szCs w:val="24"/>
        </w:rPr>
        <w:t>;</w:t>
      </w:r>
    </w:p>
    <w:p w:rsidR="009A7A92" w:rsidRPr="00CA067F" w:rsidRDefault="005B7D88" w:rsidP="00CA067F">
      <w:pPr>
        <w:pStyle w:val="Akapitzlist"/>
        <w:numPr>
          <w:ilvl w:val="0"/>
          <w:numId w:val="33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nie stanowi przestępstwa</w:t>
      </w:r>
      <w:r w:rsidR="009A7A92" w:rsidRPr="00CA067F">
        <w:rPr>
          <w:rFonts w:ascii="Verdana" w:hAnsi="Verdana"/>
          <w:color w:val="000000"/>
          <w:sz w:val="24"/>
          <w:szCs w:val="24"/>
        </w:rPr>
        <w:t>;</w:t>
      </w:r>
    </w:p>
    <w:p w:rsidR="005B7D88" w:rsidRPr="00CA067F" w:rsidRDefault="005B7D88" w:rsidP="00CA067F">
      <w:pPr>
        <w:pStyle w:val="Akapitzlist"/>
        <w:numPr>
          <w:ilvl w:val="0"/>
          <w:numId w:val="33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stanowi przestępstwo, ale sąd odstępuje od wymierzenia kary</w:t>
      </w:r>
      <w:r w:rsidR="009A7A92" w:rsidRPr="00CA067F">
        <w:rPr>
          <w:rFonts w:ascii="Verdana" w:hAnsi="Verdana"/>
          <w:color w:val="000000"/>
          <w:sz w:val="24"/>
          <w:szCs w:val="24"/>
        </w:rPr>
        <w:t>.</w:t>
      </w:r>
    </w:p>
    <w:p w:rsidR="005B7D88" w:rsidRPr="00CA067F" w:rsidRDefault="005B7D88" w:rsidP="00CA067F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:rsidR="009A7A92" w:rsidRPr="00CA067F" w:rsidRDefault="005B7D88" w:rsidP="00CA067F">
      <w:pPr>
        <w:pStyle w:val="Nagwek2"/>
        <w:keepLines/>
        <w:numPr>
          <w:ilvl w:val="0"/>
          <w:numId w:val="2"/>
        </w:numPr>
        <w:spacing w:before="0" w:after="0"/>
        <w:ind w:left="567"/>
        <w:rPr>
          <w:rFonts w:ascii="Verdana" w:hAnsi="Verdana"/>
          <w:b w:val="0"/>
          <w:i w:val="0"/>
          <w:color w:val="000000"/>
          <w:sz w:val="24"/>
          <w:szCs w:val="24"/>
        </w:rPr>
      </w:pPr>
      <w:r w:rsidRPr="00CA067F">
        <w:rPr>
          <w:rFonts w:ascii="Verdana" w:hAnsi="Verdana"/>
          <w:b w:val="0"/>
          <w:i w:val="0"/>
          <w:color w:val="000000"/>
          <w:sz w:val="24"/>
          <w:szCs w:val="24"/>
        </w:rPr>
        <w:t>Mieniem znacznej wartości według kodeksu karnego jest mienie, którego wartość w chwili popełnienia czynu zabronionego przekracza:</w:t>
      </w:r>
    </w:p>
    <w:p w:rsidR="009A7A92" w:rsidRPr="00CA067F" w:rsidRDefault="005B7D88" w:rsidP="00CA067F">
      <w:pPr>
        <w:pStyle w:val="Nagwek2"/>
        <w:keepLines/>
        <w:numPr>
          <w:ilvl w:val="0"/>
          <w:numId w:val="34"/>
        </w:numPr>
        <w:spacing w:before="0" w:after="0"/>
        <w:rPr>
          <w:rFonts w:ascii="Verdana" w:hAnsi="Verdana"/>
          <w:b w:val="0"/>
          <w:i w:val="0"/>
          <w:color w:val="000000"/>
          <w:sz w:val="24"/>
          <w:szCs w:val="24"/>
        </w:rPr>
      </w:pPr>
      <w:r w:rsidRPr="00CA067F">
        <w:rPr>
          <w:rFonts w:ascii="Verdana" w:hAnsi="Verdana"/>
          <w:b w:val="0"/>
          <w:color w:val="000000"/>
          <w:sz w:val="24"/>
          <w:szCs w:val="24"/>
        </w:rPr>
        <w:t>200 - krotność najniższego miesięcznego wynagrodzenia</w:t>
      </w:r>
      <w:r w:rsidR="009A7A92" w:rsidRPr="00CA067F">
        <w:rPr>
          <w:rFonts w:ascii="Verdana" w:hAnsi="Verdana"/>
          <w:b w:val="0"/>
          <w:color w:val="000000"/>
          <w:sz w:val="24"/>
          <w:szCs w:val="24"/>
        </w:rPr>
        <w:t>;</w:t>
      </w:r>
    </w:p>
    <w:p w:rsidR="009A7A92" w:rsidRPr="00CA067F" w:rsidRDefault="005B7D88" w:rsidP="00CA067F">
      <w:pPr>
        <w:pStyle w:val="Nagwek2"/>
        <w:keepLines/>
        <w:numPr>
          <w:ilvl w:val="0"/>
          <w:numId w:val="34"/>
        </w:numPr>
        <w:spacing w:before="0" w:after="0"/>
        <w:rPr>
          <w:rFonts w:ascii="Verdana" w:hAnsi="Verdana"/>
          <w:b w:val="0"/>
          <w:i w:val="0"/>
          <w:color w:val="000000"/>
          <w:sz w:val="24"/>
          <w:szCs w:val="24"/>
        </w:rPr>
      </w:pPr>
      <w:r w:rsidRPr="00CA067F">
        <w:rPr>
          <w:rFonts w:ascii="Verdana" w:hAnsi="Verdana"/>
          <w:b w:val="0"/>
          <w:color w:val="000000"/>
          <w:sz w:val="24"/>
          <w:szCs w:val="24"/>
        </w:rPr>
        <w:t>100 - krotność najniższego miesięcznego wynagrodzenia</w:t>
      </w:r>
      <w:r w:rsidR="009A7A92" w:rsidRPr="00CA067F">
        <w:rPr>
          <w:rFonts w:ascii="Verdana" w:hAnsi="Verdana"/>
          <w:b w:val="0"/>
          <w:color w:val="000000"/>
          <w:sz w:val="24"/>
          <w:szCs w:val="24"/>
        </w:rPr>
        <w:t>;</w:t>
      </w:r>
    </w:p>
    <w:p w:rsidR="005B7D88" w:rsidRPr="00CA067F" w:rsidRDefault="005B7D88" w:rsidP="00CA067F">
      <w:pPr>
        <w:pStyle w:val="Nagwek2"/>
        <w:keepLines/>
        <w:numPr>
          <w:ilvl w:val="0"/>
          <w:numId w:val="34"/>
        </w:numPr>
        <w:spacing w:before="0" w:after="0"/>
        <w:rPr>
          <w:rFonts w:ascii="Verdana" w:hAnsi="Verdana"/>
          <w:b w:val="0"/>
          <w:i w:val="0"/>
          <w:color w:val="000000"/>
          <w:sz w:val="24"/>
          <w:szCs w:val="24"/>
        </w:rPr>
      </w:pPr>
      <w:r w:rsidRPr="00CA067F">
        <w:rPr>
          <w:rFonts w:ascii="Verdana" w:hAnsi="Verdana"/>
          <w:b w:val="0"/>
          <w:color w:val="000000"/>
          <w:sz w:val="24"/>
          <w:szCs w:val="24"/>
        </w:rPr>
        <w:t>kwotę 200.000 złotych</w:t>
      </w:r>
    </w:p>
    <w:p w:rsidR="005B7D88" w:rsidRPr="00CA067F" w:rsidRDefault="005B7D88" w:rsidP="00CA067F">
      <w:pPr>
        <w:pStyle w:val="Default"/>
        <w:rPr>
          <w:rFonts w:ascii="Verdana" w:hAnsi="Verdana"/>
        </w:rPr>
      </w:pPr>
    </w:p>
    <w:p w:rsidR="009A7A92" w:rsidRPr="00CA067F" w:rsidRDefault="005B7D88" w:rsidP="00CA067F">
      <w:pPr>
        <w:pStyle w:val="Default"/>
        <w:numPr>
          <w:ilvl w:val="0"/>
          <w:numId w:val="2"/>
        </w:numPr>
        <w:ind w:left="567"/>
        <w:rPr>
          <w:rFonts w:ascii="Verdana" w:hAnsi="Verdana"/>
        </w:rPr>
      </w:pPr>
      <w:r w:rsidRPr="00CA067F">
        <w:rPr>
          <w:rFonts w:ascii="Verdana" w:hAnsi="Verdana"/>
          <w:bCs/>
        </w:rPr>
        <w:t xml:space="preserve">Zatarcie skazania polega na: </w:t>
      </w:r>
    </w:p>
    <w:p w:rsidR="009A7A92" w:rsidRPr="00CA067F" w:rsidRDefault="005B7D88" w:rsidP="00CA067F">
      <w:pPr>
        <w:pStyle w:val="Default"/>
        <w:numPr>
          <w:ilvl w:val="0"/>
          <w:numId w:val="35"/>
        </w:numPr>
        <w:rPr>
          <w:rFonts w:ascii="Verdana" w:hAnsi="Verdana"/>
        </w:rPr>
      </w:pPr>
      <w:r w:rsidRPr="00CA067F">
        <w:rPr>
          <w:rFonts w:ascii="Verdana" w:hAnsi="Verdana"/>
        </w:rPr>
        <w:t>konieczności wydania wyroku uniewinniającego w przypadku, gdyby zatarcie skazania nastąpiło przez prawomocnym zakończeniem sprawy</w:t>
      </w:r>
      <w:r w:rsidR="009A7A92" w:rsidRPr="00CA067F">
        <w:rPr>
          <w:rFonts w:ascii="Verdana" w:hAnsi="Verdana"/>
        </w:rPr>
        <w:t>;</w:t>
      </w:r>
    </w:p>
    <w:p w:rsidR="009A7A92" w:rsidRPr="00CA067F" w:rsidRDefault="005B7D88" w:rsidP="00CA067F">
      <w:pPr>
        <w:pStyle w:val="Default"/>
        <w:numPr>
          <w:ilvl w:val="0"/>
          <w:numId w:val="35"/>
        </w:numPr>
        <w:rPr>
          <w:rFonts w:ascii="Verdana" w:hAnsi="Verdana"/>
        </w:rPr>
      </w:pPr>
      <w:r w:rsidRPr="00CA067F">
        <w:rPr>
          <w:rFonts w:ascii="Verdana" w:hAnsi="Verdana"/>
        </w:rPr>
        <w:t>uznaniu skazania za niebyłe oraz na usunięciu wpisu o skazaniu z rejestru skazanych</w:t>
      </w:r>
      <w:r w:rsidR="009A7A92" w:rsidRPr="00CA067F">
        <w:rPr>
          <w:rFonts w:ascii="Verdana" w:hAnsi="Verdana"/>
        </w:rPr>
        <w:t>;</w:t>
      </w:r>
    </w:p>
    <w:p w:rsidR="005B7D88" w:rsidRPr="00CA067F" w:rsidRDefault="005B7D88" w:rsidP="00CA067F">
      <w:pPr>
        <w:pStyle w:val="Default"/>
        <w:numPr>
          <w:ilvl w:val="0"/>
          <w:numId w:val="35"/>
        </w:numPr>
        <w:rPr>
          <w:rFonts w:ascii="Verdana" w:hAnsi="Verdana"/>
        </w:rPr>
      </w:pPr>
      <w:r w:rsidRPr="00CA067F">
        <w:rPr>
          <w:rFonts w:ascii="Verdana" w:hAnsi="Verdana"/>
        </w:rPr>
        <w:t xml:space="preserve">konieczności umorzenia postępowania karnego wobec ustania karalności przestępstwa. </w:t>
      </w:r>
    </w:p>
    <w:p w:rsidR="005B7D88" w:rsidRPr="00CA067F" w:rsidRDefault="005B7D88" w:rsidP="00CA067F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:rsidR="009A7A92" w:rsidRPr="00CA067F" w:rsidRDefault="005B7D88" w:rsidP="00CA06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91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Zamiar ewentualny w działaniu sprawcy ma miejsce</w:t>
      </w:r>
      <w:r w:rsidR="009A7A92" w:rsidRPr="00CA067F">
        <w:rPr>
          <w:rFonts w:ascii="Verdana" w:hAnsi="Verdana"/>
          <w:color w:val="000000"/>
          <w:sz w:val="24"/>
          <w:szCs w:val="24"/>
        </w:rPr>
        <w:t>:</w:t>
      </w:r>
    </w:p>
    <w:p w:rsidR="009A7A92" w:rsidRPr="00CA067F" w:rsidRDefault="005B7D88" w:rsidP="00CA067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jeżeli sprawca ma zamiar popełnienia przestępstwa, to jest chce je popełnić</w:t>
      </w:r>
      <w:r w:rsidR="009A7A92" w:rsidRPr="00CA067F">
        <w:rPr>
          <w:rFonts w:ascii="Verdana" w:hAnsi="Verdana"/>
          <w:color w:val="000000"/>
          <w:sz w:val="24"/>
          <w:szCs w:val="24"/>
        </w:rPr>
        <w:t>;</w:t>
      </w:r>
    </w:p>
    <w:p w:rsidR="009A7A92" w:rsidRPr="00CA067F" w:rsidRDefault="005B7D88" w:rsidP="00CA067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jeżeli sprawca przewidując możliwość popełnienia przestępstwa godzi się na to</w:t>
      </w:r>
      <w:r w:rsidR="009A7A92" w:rsidRPr="00CA067F">
        <w:rPr>
          <w:rFonts w:ascii="Verdana" w:hAnsi="Verdana"/>
          <w:color w:val="000000"/>
          <w:sz w:val="24"/>
          <w:szCs w:val="24"/>
        </w:rPr>
        <w:t>;</w:t>
      </w:r>
    </w:p>
    <w:p w:rsidR="005B7D88" w:rsidRPr="00CA067F" w:rsidRDefault="005B7D88" w:rsidP="00CA067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jeżeli sprawca przewidując możliwość popełnienia przestępstwa bezpodstawnie przypuszcza,  że tego uniknie.</w:t>
      </w:r>
    </w:p>
    <w:p w:rsidR="005B7D88" w:rsidRPr="00CA067F" w:rsidRDefault="005B7D88" w:rsidP="00CA067F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:rsidR="009A7A92" w:rsidRPr="00CA067F" w:rsidRDefault="005B7D88" w:rsidP="00CA067F">
      <w:pPr>
        <w:pStyle w:val="Akapitzlist"/>
        <w:numPr>
          <w:ilvl w:val="0"/>
          <w:numId w:val="2"/>
        </w:numPr>
        <w:spacing w:after="0" w:line="240" w:lineRule="auto"/>
        <w:ind w:left="567"/>
        <w:rPr>
          <w:rStyle w:val="questiontext"/>
          <w:rFonts w:ascii="Verdana" w:hAnsi="Verdana"/>
          <w:sz w:val="24"/>
          <w:szCs w:val="24"/>
        </w:rPr>
      </w:pPr>
      <w:r w:rsidRPr="00CA067F">
        <w:rPr>
          <w:rStyle w:val="questiontext"/>
          <w:rFonts w:ascii="Verdana" w:hAnsi="Verdana"/>
          <w:color w:val="000000"/>
          <w:sz w:val="24"/>
          <w:szCs w:val="24"/>
        </w:rPr>
        <w:t>Zgodnie z kodeksem wykroczeń, jeżeli czyn będący wykroczeniem wyczerpuje zarazem znamiona przestępstwa, orzeka się:</w:t>
      </w:r>
    </w:p>
    <w:p w:rsidR="009A7A92" w:rsidRPr="00CA067F" w:rsidRDefault="005B7D88" w:rsidP="00CA067F">
      <w:pPr>
        <w:pStyle w:val="Akapitzlist"/>
        <w:numPr>
          <w:ilvl w:val="0"/>
          <w:numId w:val="37"/>
        </w:numPr>
        <w:spacing w:after="0" w:line="240" w:lineRule="auto"/>
        <w:rPr>
          <w:rStyle w:val="answer"/>
          <w:rFonts w:ascii="Verdana" w:hAnsi="Verdana"/>
          <w:sz w:val="24"/>
          <w:szCs w:val="24"/>
        </w:rPr>
      </w:pPr>
      <w:r w:rsidRPr="00CA067F">
        <w:rPr>
          <w:rStyle w:val="answer"/>
          <w:rFonts w:ascii="Verdana" w:hAnsi="Verdana"/>
          <w:color w:val="000000"/>
          <w:sz w:val="24"/>
          <w:szCs w:val="24"/>
        </w:rPr>
        <w:t>za przestępstwo i za wykroczenie</w:t>
      </w:r>
      <w:r w:rsidR="009A7A92" w:rsidRPr="00CA067F">
        <w:rPr>
          <w:rStyle w:val="answer"/>
          <w:rFonts w:ascii="Verdana" w:hAnsi="Verdana"/>
          <w:color w:val="000000"/>
          <w:sz w:val="24"/>
          <w:szCs w:val="24"/>
        </w:rPr>
        <w:t>;</w:t>
      </w:r>
    </w:p>
    <w:p w:rsidR="009A7A92" w:rsidRPr="00CA067F" w:rsidRDefault="005B7D88" w:rsidP="00CA067F">
      <w:pPr>
        <w:pStyle w:val="Akapitzlist"/>
        <w:numPr>
          <w:ilvl w:val="0"/>
          <w:numId w:val="37"/>
        </w:numPr>
        <w:spacing w:after="0" w:line="240" w:lineRule="auto"/>
        <w:rPr>
          <w:rStyle w:val="answer"/>
          <w:rFonts w:ascii="Verdana" w:hAnsi="Verdana"/>
          <w:sz w:val="24"/>
          <w:szCs w:val="24"/>
        </w:rPr>
      </w:pPr>
      <w:r w:rsidRPr="00CA067F">
        <w:rPr>
          <w:rStyle w:val="answer"/>
          <w:rFonts w:ascii="Verdana" w:hAnsi="Verdana"/>
          <w:color w:val="000000"/>
          <w:sz w:val="24"/>
          <w:szCs w:val="24"/>
        </w:rPr>
        <w:t>wyłącznie za wykroczenie</w:t>
      </w:r>
      <w:r w:rsidR="009A7A92" w:rsidRPr="00CA067F">
        <w:rPr>
          <w:rStyle w:val="answer"/>
          <w:rFonts w:ascii="Verdana" w:hAnsi="Verdana"/>
          <w:color w:val="000000"/>
          <w:sz w:val="24"/>
          <w:szCs w:val="24"/>
        </w:rPr>
        <w:t>;</w:t>
      </w:r>
    </w:p>
    <w:p w:rsidR="005B7D88" w:rsidRPr="00CA067F" w:rsidRDefault="005B7D88" w:rsidP="00CA067F">
      <w:pPr>
        <w:pStyle w:val="Akapitzlist"/>
        <w:numPr>
          <w:ilvl w:val="0"/>
          <w:numId w:val="37"/>
        </w:numPr>
        <w:spacing w:after="0" w:line="240" w:lineRule="auto"/>
        <w:rPr>
          <w:rFonts w:ascii="Verdana" w:hAnsi="Verdana"/>
          <w:sz w:val="24"/>
          <w:szCs w:val="24"/>
        </w:rPr>
      </w:pPr>
      <w:r w:rsidRPr="00CA067F">
        <w:rPr>
          <w:rStyle w:val="answer"/>
          <w:rFonts w:ascii="Verdana" w:hAnsi="Verdana"/>
          <w:color w:val="000000"/>
          <w:sz w:val="24"/>
          <w:szCs w:val="24"/>
        </w:rPr>
        <w:t>wyłącznie za przestępstwo</w:t>
      </w:r>
      <w:r w:rsidR="009A7A92" w:rsidRPr="00CA067F">
        <w:rPr>
          <w:rStyle w:val="answer"/>
          <w:rFonts w:ascii="Verdana" w:hAnsi="Verdana"/>
          <w:color w:val="000000"/>
          <w:sz w:val="24"/>
          <w:szCs w:val="24"/>
        </w:rPr>
        <w:t>.</w:t>
      </w:r>
      <w:r w:rsidRPr="00CA067F">
        <w:rPr>
          <w:rStyle w:val="answer"/>
          <w:rFonts w:ascii="Verdana" w:hAnsi="Verdana"/>
          <w:color w:val="000000"/>
          <w:sz w:val="24"/>
          <w:szCs w:val="24"/>
        </w:rPr>
        <w:tab/>
      </w:r>
    </w:p>
    <w:p w:rsidR="005B7D88" w:rsidRPr="00CA067F" w:rsidRDefault="005B7D88" w:rsidP="00CA067F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:rsidR="009A7A92" w:rsidRPr="00CA067F" w:rsidRDefault="005B7D88" w:rsidP="00CA067F">
      <w:pPr>
        <w:pStyle w:val="Akapitzlist"/>
        <w:numPr>
          <w:ilvl w:val="0"/>
          <w:numId w:val="2"/>
        </w:numPr>
        <w:spacing w:after="0" w:line="240" w:lineRule="auto"/>
        <w:ind w:left="567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 xml:space="preserve">Jeżeli po otwarciu przewodu sądowego okaże się, że czyn zarzucany oskarżonemu nie jest przestępstwem, a  wykroczeniem sąd rozpoznający sprawę powinien: </w:t>
      </w:r>
    </w:p>
    <w:p w:rsidR="009A7A92" w:rsidRPr="00CA067F" w:rsidRDefault="005B7D88" w:rsidP="00CA067F">
      <w:pPr>
        <w:pStyle w:val="Akapitzlist"/>
        <w:numPr>
          <w:ilvl w:val="0"/>
          <w:numId w:val="38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wydać wyrok umarzający postępowanie karne wobec oskarżonego</w:t>
      </w:r>
      <w:r w:rsidR="009A7A92" w:rsidRPr="00CA067F">
        <w:rPr>
          <w:rFonts w:ascii="Verdana" w:hAnsi="Verdana"/>
          <w:color w:val="000000"/>
          <w:sz w:val="24"/>
          <w:szCs w:val="24"/>
        </w:rPr>
        <w:t>;</w:t>
      </w:r>
    </w:p>
    <w:p w:rsidR="009A7A92" w:rsidRPr="00CA067F" w:rsidRDefault="005B7D88" w:rsidP="00CA067F">
      <w:pPr>
        <w:pStyle w:val="Akapitzlist"/>
        <w:numPr>
          <w:ilvl w:val="0"/>
          <w:numId w:val="38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lastRenderedPageBreak/>
        <w:t>przekazać sprawę sądowi właściwemu do rozpoznania sprawy o wykroczenia</w:t>
      </w:r>
      <w:r w:rsidR="009A7A92" w:rsidRPr="00CA067F">
        <w:rPr>
          <w:rFonts w:ascii="Verdana" w:hAnsi="Verdana"/>
          <w:color w:val="000000"/>
          <w:sz w:val="24"/>
          <w:szCs w:val="24"/>
        </w:rPr>
        <w:t>;</w:t>
      </w:r>
    </w:p>
    <w:p w:rsidR="005B7D88" w:rsidRPr="00CA067F" w:rsidRDefault="005B7D88" w:rsidP="00CA067F">
      <w:pPr>
        <w:pStyle w:val="Akapitzlist"/>
        <w:numPr>
          <w:ilvl w:val="0"/>
          <w:numId w:val="38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rozpoznać sprawę w tym samym składzie, stosując na dalszym etapie rozprawy przepisy kodeksu postępowania w sprawach o wykroczenia</w:t>
      </w:r>
      <w:r w:rsidR="009A7A92" w:rsidRPr="00CA067F">
        <w:rPr>
          <w:rFonts w:ascii="Verdana" w:hAnsi="Verdana"/>
          <w:color w:val="000000"/>
          <w:sz w:val="24"/>
          <w:szCs w:val="24"/>
        </w:rPr>
        <w:t>.</w:t>
      </w:r>
    </w:p>
    <w:p w:rsidR="005B7D88" w:rsidRPr="00CA067F" w:rsidRDefault="005B7D88" w:rsidP="00CA067F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:rsidR="008A1129" w:rsidRPr="00CA067F" w:rsidRDefault="005B7D88" w:rsidP="00CA067F">
      <w:pPr>
        <w:pStyle w:val="Nagwek3"/>
        <w:numPr>
          <w:ilvl w:val="0"/>
          <w:numId w:val="2"/>
        </w:numPr>
        <w:shd w:val="clear" w:color="auto" w:fill="FFFFFF"/>
        <w:spacing w:before="0" w:after="0" w:line="240" w:lineRule="auto"/>
        <w:ind w:left="567"/>
        <w:rPr>
          <w:rFonts w:ascii="Verdana" w:hAnsi="Verdana"/>
          <w:b w:val="0"/>
          <w:color w:val="000000"/>
          <w:sz w:val="24"/>
          <w:szCs w:val="24"/>
          <w:lang w:eastAsia="pl-PL"/>
        </w:rPr>
      </w:pPr>
      <w:r w:rsidRPr="00CA067F">
        <w:rPr>
          <w:rFonts w:ascii="Verdana" w:hAnsi="Verdana"/>
          <w:b w:val="0"/>
          <w:color w:val="000000"/>
          <w:sz w:val="24"/>
          <w:szCs w:val="24"/>
        </w:rPr>
        <w:t>Odpowiedzialności za popełnienie wykroczenia podlegać będzie osoba, która:</w:t>
      </w:r>
    </w:p>
    <w:p w:rsidR="008A1129" w:rsidRPr="00CA067F" w:rsidRDefault="005B7D88" w:rsidP="00CA067F">
      <w:pPr>
        <w:pStyle w:val="Nagwek3"/>
        <w:numPr>
          <w:ilvl w:val="0"/>
          <w:numId w:val="39"/>
        </w:numPr>
        <w:shd w:val="clear" w:color="auto" w:fill="FFFFFF"/>
        <w:spacing w:before="0" w:after="0" w:line="240" w:lineRule="auto"/>
        <w:rPr>
          <w:rFonts w:ascii="Verdana" w:hAnsi="Verdana"/>
          <w:b w:val="0"/>
          <w:color w:val="000000"/>
          <w:sz w:val="24"/>
          <w:szCs w:val="24"/>
          <w:lang w:eastAsia="pl-PL"/>
        </w:rPr>
      </w:pPr>
      <w:r w:rsidRPr="00CA067F">
        <w:rPr>
          <w:rFonts w:ascii="Verdana" w:hAnsi="Verdana"/>
          <w:b w:val="0"/>
          <w:color w:val="000000"/>
          <w:sz w:val="24"/>
          <w:szCs w:val="24"/>
          <w:shd w:val="clear" w:color="auto" w:fill="FFFFFF"/>
        </w:rPr>
        <w:t>ukończyła 15 lat</w:t>
      </w:r>
      <w:r w:rsidR="008A1129" w:rsidRPr="00CA067F">
        <w:rPr>
          <w:rFonts w:ascii="Verdana" w:hAnsi="Verdana"/>
          <w:b w:val="0"/>
          <w:color w:val="000000"/>
          <w:sz w:val="24"/>
          <w:szCs w:val="24"/>
          <w:shd w:val="clear" w:color="auto" w:fill="FFFFFF"/>
        </w:rPr>
        <w:t>;</w:t>
      </w:r>
    </w:p>
    <w:p w:rsidR="008A1129" w:rsidRPr="00CA067F" w:rsidRDefault="005B7D88" w:rsidP="00CA067F">
      <w:pPr>
        <w:pStyle w:val="Nagwek3"/>
        <w:numPr>
          <w:ilvl w:val="0"/>
          <w:numId w:val="39"/>
        </w:numPr>
        <w:shd w:val="clear" w:color="auto" w:fill="FFFFFF"/>
        <w:spacing w:before="0" w:after="0" w:line="240" w:lineRule="auto"/>
        <w:rPr>
          <w:rFonts w:ascii="Verdana" w:hAnsi="Verdana"/>
          <w:b w:val="0"/>
          <w:color w:val="000000"/>
          <w:sz w:val="24"/>
          <w:szCs w:val="24"/>
          <w:lang w:eastAsia="pl-PL"/>
        </w:rPr>
      </w:pPr>
      <w:r w:rsidRPr="00CA067F">
        <w:rPr>
          <w:rFonts w:ascii="Verdana" w:hAnsi="Verdana"/>
          <w:b w:val="0"/>
          <w:color w:val="000000"/>
          <w:sz w:val="24"/>
          <w:szCs w:val="24"/>
          <w:shd w:val="clear" w:color="auto" w:fill="FFFFFF"/>
        </w:rPr>
        <w:t>ukończyła 17 lat</w:t>
      </w:r>
      <w:r w:rsidR="008A1129" w:rsidRPr="00CA067F">
        <w:rPr>
          <w:rFonts w:ascii="Verdana" w:hAnsi="Verdana"/>
          <w:b w:val="0"/>
          <w:color w:val="000000"/>
          <w:sz w:val="24"/>
          <w:szCs w:val="24"/>
          <w:shd w:val="clear" w:color="auto" w:fill="FFFFFF"/>
        </w:rPr>
        <w:t>;</w:t>
      </w:r>
    </w:p>
    <w:p w:rsidR="005B7D88" w:rsidRPr="00CA067F" w:rsidRDefault="005B7D88" w:rsidP="00CA067F">
      <w:pPr>
        <w:pStyle w:val="Nagwek3"/>
        <w:numPr>
          <w:ilvl w:val="0"/>
          <w:numId w:val="39"/>
        </w:numPr>
        <w:shd w:val="clear" w:color="auto" w:fill="FFFFFF"/>
        <w:spacing w:before="0" w:after="0" w:line="240" w:lineRule="auto"/>
        <w:rPr>
          <w:rFonts w:ascii="Verdana" w:hAnsi="Verdana"/>
          <w:b w:val="0"/>
          <w:color w:val="000000"/>
          <w:sz w:val="24"/>
          <w:szCs w:val="24"/>
          <w:lang w:eastAsia="pl-PL"/>
        </w:rPr>
      </w:pPr>
      <w:r w:rsidRPr="00CA067F">
        <w:rPr>
          <w:rFonts w:ascii="Verdana" w:hAnsi="Verdana"/>
          <w:b w:val="0"/>
          <w:color w:val="000000"/>
          <w:sz w:val="24"/>
          <w:szCs w:val="24"/>
          <w:shd w:val="clear" w:color="auto" w:fill="FFFFFF"/>
        </w:rPr>
        <w:t>ukończyła 18 lat</w:t>
      </w:r>
      <w:r w:rsidR="008A1129" w:rsidRPr="00CA067F">
        <w:rPr>
          <w:rFonts w:ascii="Verdana" w:hAnsi="Verdana"/>
          <w:b w:val="0"/>
          <w:color w:val="000000"/>
          <w:sz w:val="24"/>
          <w:szCs w:val="24"/>
          <w:shd w:val="clear" w:color="auto" w:fill="FFFFFF"/>
        </w:rPr>
        <w:t>.</w:t>
      </w:r>
    </w:p>
    <w:p w:rsidR="005B7D88" w:rsidRPr="00CA067F" w:rsidRDefault="005B7D88" w:rsidP="00CA067F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:rsidR="00D8440A" w:rsidRPr="00CA067F" w:rsidRDefault="005B7D88" w:rsidP="00CA067F">
      <w:pPr>
        <w:pStyle w:val="Akapitzlist"/>
        <w:numPr>
          <w:ilvl w:val="0"/>
          <w:numId w:val="2"/>
        </w:numPr>
        <w:spacing w:after="0" w:line="240" w:lineRule="auto"/>
        <w:ind w:left="567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 xml:space="preserve">Zakaz prowadzenia pojazdów, o którym mowa w kodeksie wykroczeń, wymierza się: </w:t>
      </w:r>
    </w:p>
    <w:p w:rsidR="00D8440A" w:rsidRPr="00CA067F" w:rsidRDefault="005B7D88" w:rsidP="00CA067F">
      <w:pPr>
        <w:pStyle w:val="Akapitzlist"/>
        <w:numPr>
          <w:ilvl w:val="0"/>
          <w:numId w:val="40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na okres od 6 miesięcy do 3 lat</w:t>
      </w:r>
      <w:r w:rsidR="00D8440A" w:rsidRPr="00CA067F">
        <w:rPr>
          <w:rFonts w:ascii="Verdana" w:hAnsi="Verdana"/>
          <w:color w:val="000000"/>
          <w:sz w:val="24"/>
          <w:szCs w:val="24"/>
        </w:rPr>
        <w:t>;</w:t>
      </w:r>
    </w:p>
    <w:p w:rsidR="00D8440A" w:rsidRPr="00CA067F" w:rsidRDefault="005B7D88" w:rsidP="00CA067F">
      <w:pPr>
        <w:pStyle w:val="Akapitzlist"/>
        <w:numPr>
          <w:ilvl w:val="0"/>
          <w:numId w:val="40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na czas nie krótszy niż 3 lata</w:t>
      </w:r>
      <w:r w:rsidR="00D8440A" w:rsidRPr="00CA067F">
        <w:rPr>
          <w:rFonts w:ascii="Verdana" w:hAnsi="Verdana"/>
          <w:color w:val="000000"/>
          <w:sz w:val="24"/>
          <w:szCs w:val="24"/>
        </w:rPr>
        <w:t>;</w:t>
      </w:r>
    </w:p>
    <w:p w:rsidR="005B7D88" w:rsidRPr="00CA067F" w:rsidRDefault="005B7D88" w:rsidP="00CA067F">
      <w:pPr>
        <w:pStyle w:val="Akapitzlist"/>
        <w:numPr>
          <w:ilvl w:val="0"/>
          <w:numId w:val="40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na czas od 3 miesięcy do 3 lat.</w:t>
      </w:r>
    </w:p>
    <w:p w:rsidR="005B7D88" w:rsidRPr="00CA067F" w:rsidRDefault="005B7D88" w:rsidP="00CA067F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:rsidR="00E618C1" w:rsidRPr="00CA067F" w:rsidRDefault="005B7D88" w:rsidP="00CA067F">
      <w:pPr>
        <w:pStyle w:val="Akapitzlist"/>
        <w:numPr>
          <w:ilvl w:val="0"/>
          <w:numId w:val="2"/>
        </w:numPr>
        <w:spacing w:after="0" w:line="240" w:lineRule="auto"/>
        <w:ind w:left="567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W przypadku niestawiennictwa oskarżyciela prywatnego i jego pełnomocnika na posiedzenie pojednawcze bez usprawiedliwienia sąd:</w:t>
      </w:r>
    </w:p>
    <w:p w:rsidR="00E618C1" w:rsidRPr="00CA067F" w:rsidRDefault="005B7D88" w:rsidP="00CA067F">
      <w:pPr>
        <w:pStyle w:val="Akapitzlist"/>
        <w:numPr>
          <w:ilvl w:val="0"/>
          <w:numId w:val="41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prowadzi dalsze postępowanie pod nieobecność oskarżyciela prywatnego i jego pełnomocnika</w:t>
      </w:r>
      <w:r w:rsidR="00E618C1" w:rsidRPr="00CA067F">
        <w:rPr>
          <w:rFonts w:ascii="Verdana" w:hAnsi="Verdana"/>
          <w:color w:val="000000"/>
          <w:sz w:val="24"/>
          <w:szCs w:val="24"/>
        </w:rPr>
        <w:t>;</w:t>
      </w:r>
    </w:p>
    <w:p w:rsidR="00E618C1" w:rsidRPr="00CA067F" w:rsidRDefault="005B7D88" w:rsidP="00CA067F">
      <w:pPr>
        <w:pStyle w:val="Akapitzlist"/>
        <w:numPr>
          <w:ilvl w:val="0"/>
          <w:numId w:val="41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odracza posiedzenie i wzywa oskarżyciela prywatnego i jego pełnomocnika</w:t>
      </w:r>
      <w:r w:rsidR="00E618C1" w:rsidRPr="00CA067F">
        <w:rPr>
          <w:rFonts w:ascii="Verdana" w:hAnsi="Verdana"/>
          <w:color w:val="000000"/>
          <w:sz w:val="24"/>
          <w:szCs w:val="24"/>
        </w:rPr>
        <w:t>;</w:t>
      </w:r>
    </w:p>
    <w:p w:rsidR="005B7D88" w:rsidRPr="00CA067F" w:rsidRDefault="005B7D88" w:rsidP="00CA067F">
      <w:pPr>
        <w:pStyle w:val="Akapitzlist"/>
        <w:numPr>
          <w:ilvl w:val="0"/>
          <w:numId w:val="41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umarza postępowanie w sprawie zainicjowanej prywatnym aktem oskarżenia</w:t>
      </w:r>
      <w:r w:rsidR="00E618C1" w:rsidRPr="00CA067F">
        <w:rPr>
          <w:rFonts w:ascii="Verdana" w:hAnsi="Verdana"/>
          <w:color w:val="000000"/>
          <w:sz w:val="24"/>
          <w:szCs w:val="24"/>
        </w:rPr>
        <w:t>.</w:t>
      </w:r>
    </w:p>
    <w:p w:rsidR="005B7D88" w:rsidRPr="00CA067F" w:rsidRDefault="005B7D88" w:rsidP="00CA067F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:rsidR="00324CA3" w:rsidRPr="00CA067F" w:rsidRDefault="005B7D88" w:rsidP="00CA067F">
      <w:pPr>
        <w:pStyle w:val="Akapitzlist"/>
        <w:numPr>
          <w:ilvl w:val="0"/>
          <w:numId w:val="2"/>
        </w:numPr>
        <w:spacing w:after="0" w:line="240" w:lineRule="auto"/>
        <w:ind w:left="567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Osoba uprawniona do odmowy złożenia zeznań w postępowaniu karnym może z</w:t>
      </w:r>
      <w:r w:rsidR="00C76655" w:rsidRPr="00CA067F">
        <w:rPr>
          <w:rFonts w:ascii="Verdana" w:hAnsi="Verdana"/>
          <w:color w:val="000000"/>
          <w:sz w:val="24"/>
          <w:szCs w:val="24"/>
        </w:rPr>
        <w:t> </w:t>
      </w:r>
      <w:r w:rsidRPr="00CA067F">
        <w:rPr>
          <w:rFonts w:ascii="Verdana" w:hAnsi="Verdana"/>
          <w:color w:val="000000"/>
          <w:sz w:val="24"/>
          <w:szCs w:val="24"/>
        </w:rPr>
        <w:t>tego prawa skorzystać:</w:t>
      </w:r>
    </w:p>
    <w:p w:rsidR="00324CA3" w:rsidRPr="00CA067F" w:rsidRDefault="005B7D88" w:rsidP="00CA067F">
      <w:pPr>
        <w:pStyle w:val="Akapitzlist"/>
        <w:numPr>
          <w:ilvl w:val="0"/>
          <w:numId w:val="42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na każdym etapie postępowania</w:t>
      </w:r>
      <w:r w:rsidR="00324CA3" w:rsidRPr="00CA067F">
        <w:rPr>
          <w:rFonts w:ascii="Verdana" w:hAnsi="Verdana"/>
          <w:color w:val="000000"/>
          <w:sz w:val="24"/>
          <w:szCs w:val="24"/>
        </w:rPr>
        <w:t>;</w:t>
      </w:r>
    </w:p>
    <w:p w:rsidR="00324CA3" w:rsidRPr="00CA067F" w:rsidRDefault="005B7D88" w:rsidP="00CA067F">
      <w:pPr>
        <w:pStyle w:val="Akapitzlist"/>
        <w:numPr>
          <w:ilvl w:val="0"/>
          <w:numId w:val="42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do chwili otwarcia przewodu sądowego w sprawie w której ma ona złożyć zeznania</w:t>
      </w:r>
      <w:r w:rsidR="00324CA3" w:rsidRPr="00CA067F">
        <w:rPr>
          <w:rFonts w:ascii="Verdana" w:hAnsi="Verdana"/>
          <w:color w:val="000000"/>
          <w:sz w:val="24"/>
          <w:szCs w:val="24"/>
        </w:rPr>
        <w:t>;</w:t>
      </w:r>
    </w:p>
    <w:p w:rsidR="005B7D88" w:rsidRPr="00CA067F" w:rsidRDefault="005B7D88" w:rsidP="00CA067F">
      <w:pPr>
        <w:pStyle w:val="Akapitzlist"/>
        <w:numPr>
          <w:ilvl w:val="0"/>
          <w:numId w:val="42"/>
        </w:num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nie później niż przed rozpoczęciem pierwszego zeznania w postępowaniu sądowym</w:t>
      </w:r>
      <w:r w:rsidR="00324CA3" w:rsidRPr="00CA067F">
        <w:rPr>
          <w:rFonts w:ascii="Verdana" w:hAnsi="Verdana"/>
          <w:color w:val="000000"/>
          <w:sz w:val="24"/>
          <w:szCs w:val="24"/>
        </w:rPr>
        <w:t>.</w:t>
      </w:r>
    </w:p>
    <w:p w:rsidR="005B7D88" w:rsidRPr="00CA067F" w:rsidRDefault="005B7D88" w:rsidP="00CA067F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:rsidR="00324CA3" w:rsidRPr="00CA067F" w:rsidRDefault="005B7D88" w:rsidP="00CA06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 xml:space="preserve">Sąd może wydać wyrok nakazowy: </w:t>
      </w:r>
    </w:p>
    <w:p w:rsidR="00324CA3" w:rsidRPr="00CA067F" w:rsidRDefault="005B7D88" w:rsidP="00CA067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w  sprawach z oskarżenia prywatnego</w:t>
      </w:r>
      <w:r w:rsidR="00324CA3" w:rsidRPr="00CA067F">
        <w:rPr>
          <w:rFonts w:ascii="Verdana" w:hAnsi="Verdana"/>
          <w:color w:val="000000"/>
          <w:sz w:val="24"/>
          <w:szCs w:val="24"/>
        </w:rPr>
        <w:t>;</w:t>
      </w:r>
    </w:p>
    <w:p w:rsidR="006E7776" w:rsidRPr="00CA067F" w:rsidRDefault="005B7D88" w:rsidP="00CA067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po przeprowadzeniu rozprawy, w sprawach w których postępowanie</w:t>
      </w:r>
      <w:r w:rsidR="006E7776" w:rsidRPr="00CA067F">
        <w:rPr>
          <w:rFonts w:ascii="Verdana" w:hAnsi="Verdana"/>
          <w:color w:val="000000"/>
          <w:sz w:val="24"/>
          <w:szCs w:val="24"/>
        </w:rPr>
        <w:t xml:space="preserve"> </w:t>
      </w:r>
      <w:r w:rsidRPr="00CA067F">
        <w:rPr>
          <w:rFonts w:ascii="Verdana" w:hAnsi="Verdana"/>
          <w:color w:val="000000"/>
          <w:sz w:val="24"/>
          <w:szCs w:val="24"/>
        </w:rPr>
        <w:t>przygotowawcze prowadzono w formie dochodzenia</w:t>
      </w:r>
      <w:r w:rsidR="006E7776" w:rsidRPr="00CA067F">
        <w:rPr>
          <w:rFonts w:ascii="Verdana" w:hAnsi="Verdana"/>
          <w:color w:val="000000"/>
          <w:sz w:val="24"/>
          <w:szCs w:val="24"/>
        </w:rPr>
        <w:t>;</w:t>
      </w:r>
    </w:p>
    <w:p w:rsidR="005B7D88" w:rsidRPr="00CA067F" w:rsidRDefault="005B7D88" w:rsidP="00CA067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w sprawach w których postępowanie przygotowawcze prowadzono w formie dochodzenia, uznając na podstawie zebranego w postępowaniu przygotowawczym materiału, że przeprowadzenie rozprawy nie jest konieczne.</w:t>
      </w:r>
    </w:p>
    <w:p w:rsidR="005B7D88" w:rsidRPr="00CA067F" w:rsidRDefault="005B7D88" w:rsidP="00CA067F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:rsidR="006E7776" w:rsidRPr="00CA067F" w:rsidRDefault="005B7D88" w:rsidP="00CA06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color w:val="000000"/>
          <w:sz w:val="24"/>
          <w:szCs w:val="24"/>
          <w:lang w:eastAsia="pl-PL"/>
        </w:rPr>
      </w:pPr>
      <w:r w:rsidRPr="00CA067F">
        <w:rPr>
          <w:rFonts w:ascii="Verdana" w:hAnsi="Verdana"/>
          <w:color w:val="000000"/>
          <w:sz w:val="24"/>
          <w:szCs w:val="24"/>
          <w:lang w:eastAsia="pl-PL"/>
        </w:rPr>
        <w:t>Przewód sądowy rozpoczyna się z chwilą</w:t>
      </w:r>
      <w:r w:rsidR="006E7776" w:rsidRPr="00CA067F">
        <w:rPr>
          <w:rFonts w:ascii="Verdana" w:hAnsi="Verdana"/>
          <w:color w:val="000000"/>
          <w:sz w:val="24"/>
          <w:szCs w:val="24"/>
          <w:lang w:eastAsia="pl-PL"/>
        </w:rPr>
        <w:t>:</w:t>
      </w:r>
    </w:p>
    <w:p w:rsidR="006E7776" w:rsidRPr="00CA067F" w:rsidRDefault="005B7D88" w:rsidP="00CA06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  <w:lang w:eastAsia="pl-PL"/>
        </w:rPr>
      </w:pPr>
      <w:r w:rsidRPr="00CA067F">
        <w:rPr>
          <w:rFonts w:ascii="Verdana" w:hAnsi="Verdana"/>
          <w:color w:val="000000"/>
          <w:sz w:val="24"/>
          <w:szCs w:val="24"/>
          <w:lang w:eastAsia="pl-PL"/>
        </w:rPr>
        <w:t>wywołania sprawy</w:t>
      </w:r>
      <w:r w:rsidR="006E7776" w:rsidRPr="00CA067F">
        <w:rPr>
          <w:rFonts w:ascii="Verdana" w:hAnsi="Verdana"/>
          <w:color w:val="000000"/>
          <w:sz w:val="24"/>
          <w:szCs w:val="24"/>
          <w:lang w:eastAsia="pl-PL"/>
        </w:rPr>
        <w:t>;</w:t>
      </w:r>
    </w:p>
    <w:p w:rsidR="006E7776" w:rsidRPr="00CA067F" w:rsidRDefault="005B7D88" w:rsidP="00CA06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  <w:lang w:eastAsia="pl-PL"/>
        </w:rPr>
      </w:pPr>
      <w:r w:rsidRPr="00CA067F">
        <w:rPr>
          <w:rFonts w:ascii="Verdana" w:hAnsi="Verdana"/>
          <w:color w:val="000000"/>
          <w:sz w:val="24"/>
          <w:szCs w:val="24"/>
          <w:lang w:eastAsia="pl-PL"/>
        </w:rPr>
        <w:lastRenderedPageBreak/>
        <w:t>zwięzłego przedstawienia na rozprawie zarzutów oskarżenia przez oskarżyciela  bądź przewodniczącego</w:t>
      </w:r>
      <w:r w:rsidR="006E7776" w:rsidRPr="00CA067F">
        <w:rPr>
          <w:rFonts w:ascii="Verdana" w:hAnsi="Verdana"/>
          <w:color w:val="000000"/>
          <w:sz w:val="24"/>
          <w:szCs w:val="24"/>
          <w:lang w:eastAsia="pl-PL"/>
        </w:rPr>
        <w:t>;</w:t>
      </w:r>
    </w:p>
    <w:p w:rsidR="005B7D88" w:rsidRPr="00CA067F" w:rsidRDefault="005B7D88" w:rsidP="00CA06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  <w:lang w:eastAsia="pl-PL"/>
        </w:rPr>
      </w:pPr>
      <w:r w:rsidRPr="00CA067F">
        <w:rPr>
          <w:rFonts w:ascii="Verdana" w:hAnsi="Verdana"/>
          <w:color w:val="000000"/>
          <w:sz w:val="24"/>
          <w:szCs w:val="24"/>
          <w:lang w:eastAsia="pl-PL"/>
        </w:rPr>
        <w:t>doręczenia oskarżonemu odpisu aktu oskarżenia</w:t>
      </w:r>
      <w:r w:rsidR="006E7776" w:rsidRPr="00CA067F">
        <w:rPr>
          <w:rFonts w:ascii="Verdana" w:hAnsi="Verdana"/>
          <w:color w:val="000000"/>
          <w:sz w:val="24"/>
          <w:szCs w:val="24"/>
          <w:lang w:eastAsia="pl-PL"/>
        </w:rPr>
        <w:t>.</w:t>
      </w:r>
    </w:p>
    <w:p w:rsidR="005B7D88" w:rsidRPr="00CA067F" w:rsidRDefault="005B7D88" w:rsidP="00CA067F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:rsidR="003064B8" w:rsidRPr="00CA067F" w:rsidRDefault="005B7D88" w:rsidP="00CA067F">
      <w:pPr>
        <w:pStyle w:val="Akapitzlist"/>
        <w:numPr>
          <w:ilvl w:val="0"/>
          <w:numId w:val="2"/>
        </w:numPr>
        <w:spacing w:after="0" w:line="240" w:lineRule="auto"/>
        <w:ind w:left="567"/>
        <w:outlineLvl w:val="0"/>
        <w:rPr>
          <w:rFonts w:ascii="Verdana" w:hAnsi="Verdana"/>
          <w:bCs/>
          <w:color w:val="000000"/>
          <w:sz w:val="24"/>
          <w:szCs w:val="24"/>
        </w:rPr>
      </w:pPr>
      <w:r w:rsidRPr="00CA067F">
        <w:rPr>
          <w:rFonts w:ascii="Verdana" w:hAnsi="Verdana"/>
          <w:bCs/>
          <w:color w:val="000000"/>
          <w:sz w:val="24"/>
          <w:szCs w:val="24"/>
        </w:rPr>
        <w:t xml:space="preserve">Zgodnie z kodeksem postępowania karnego uzasadnienie postanowienia sporządza się  na piśmie: </w:t>
      </w:r>
    </w:p>
    <w:p w:rsidR="003064B8" w:rsidRPr="00CA067F" w:rsidRDefault="005B7D88" w:rsidP="00CA067F">
      <w:pPr>
        <w:pStyle w:val="Akapitzlist"/>
        <w:numPr>
          <w:ilvl w:val="0"/>
          <w:numId w:val="45"/>
        </w:numPr>
        <w:spacing w:after="0" w:line="240" w:lineRule="auto"/>
        <w:outlineLvl w:val="0"/>
        <w:rPr>
          <w:rFonts w:ascii="Verdana" w:hAnsi="Verdana"/>
          <w:bCs/>
          <w:color w:val="000000"/>
          <w:sz w:val="24"/>
          <w:szCs w:val="24"/>
        </w:rPr>
      </w:pPr>
      <w:r w:rsidRPr="00CA067F">
        <w:rPr>
          <w:rFonts w:ascii="Verdana" w:hAnsi="Verdana"/>
          <w:bCs/>
          <w:color w:val="000000"/>
          <w:sz w:val="24"/>
          <w:szCs w:val="24"/>
        </w:rPr>
        <w:t>na wniosek stron, w terminie 7 dni od daty ogłoszenia postanowienia</w:t>
      </w:r>
      <w:r w:rsidR="003064B8" w:rsidRPr="00CA067F">
        <w:rPr>
          <w:rFonts w:ascii="Verdana" w:hAnsi="Verdana"/>
          <w:bCs/>
          <w:color w:val="000000"/>
          <w:sz w:val="24"/>
          <w:szCs w:val="24"/>
        </w:rPr>
        <w:t>;</w:t>
      </w:r>
    </w:p>
    <w:p w:rsidR="003064B8" w:rsidRPr="00CA067F" w:rsidRDefault="005B7D88" w:rsidP="00CA067F">
      <w:pPr>
        <w:pStyle w:val="Akapitzlist"/>
        <w:numPr>
          <w:ilvl w:val="0"/>
          <w:numId w:val="45"/>
        </w:numPr>
        <w:spacing w:after="0" w:line="240" w:lineRule="auto"/>
        <w:outlineLvl w:val="0"/>
        <w:rPr>
          <w:rFonts w:ascii="Verdana" w:hAnsi="Verdana"/>
          <w:bCs/>
          <w:color w:val="000000"/>
          <w:sz w:val="24"/>
          <w:szCs w:val="24"/>
        </w:rPr>
      </w:pPr>
      <w:r w:rsidRPr="00CA067F">
        <w:rPr>
          <w:rFonts w:ascii="Verdana" w:hAnsi="Verdana"/>
          <w:bCs/>
          <w:color w:val="000000"/>
          <w:sz w:val="24"/>
          <w:szCs w:val="24"/>
        </w:rPr>
        <w:t xml:space="preserve">z urzędu, zawsze wraz z samym postanowieniem; </w:t>
      </w:r>
    </w:p>
    <w:p w:rsidR="005B7D88" w:rsidRPr="00CA067F" w:rsidRDefault="005B7D88" w:rsidP="00CA067F">
      <w:pPr>
        <w:pStyle w:val="Akapitzlist"/>
        <w:numPr>
          <w:ilvl w:val="0"/>
          <w:numId w:val="45"/>
        </w:numPr>
        <w:spacing w:after="0" w:line="240" w:lineRule="auto"/>
        <w:outlineLvl w:val="0"/>
        <w:rPr>
          <w:rFonts w:ascii="Verdana" w:hAnsi="Verdana"/>
          <w:bCs/>
          <w:color w:val="000000"/>
          <w:sz w:val="24"/>
          <w:szCs w:val="24"/>
        </w:rPr>
      </w:pPr>
      <w:r w:rsidRPr="00CA067F">
        <w:rPr>
          <w:rFonts w:ascii="Verdana" w:hAnsi="Verdana"/>
          <w:bCs/>
          <w:color w:val="000000"/>
          <w:sz w:val="24"/>
          <w:szCs w:val="24"/>
        </w:rPr>
        <w:t>z urzędu wraz z samym postanowieniem, jednak w sprawie zawiłej lub z innych ważnych przyczyn można odroczyć sporządzenie uzasadnienia postanowienia na czas do 7 dni</w:t>
      </w:r>
      <w:r w:rsidR="003064B8" w:rsidRPr="00CA067F">
        <w:rPr>
          <w:rFonts w:ascii="Verdana" w:hAnsi="Verdana"/>
          <w:bCs/>
          <w:color w:val="000000"/>
          <w:sz w:val="24"/>
          <w:szCs w:val="24"/>
        </w:rPr>
        <w:t>.</w:t>
      </w:r>
    </w:p>
    <w:p w:rsidR="005B7D88" w:rsidRPr="00CA067F" w:rsidRDefault="005B7D88" w:rsidP="00CA067F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:rsidR="003D313F" w:rsidRPr="00CA067F" w:rsidRDefault="005B7D88" w:rsidP="00CA06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Dla oskarżonego przebywającego na wolności termin do złożenia wniosku o</w:t>
      </w:r>
      <w:r w:rsidR="00C76655" w:rsidRPr="00CA067F">
        <w:rPr>
          <w:rFonts w:ascii="Verdana" w:hAnsi="Verdana"/>
          <w:color w:val="000000"/>
          <w:sz w:val="24"/>
          <w:szCs w:val="24"/>
        </w:rPr>
        <w:t> </w:t>
      </w:r>
      <w:r w:rsidRPr="00CA067F">
        <w:rPr>
          <w:rFonts w:ascii="Verdana" w:hAnsi="Verdana"/>
          <w:color w:val="000000"/>
          <w:sz w:val="24"/>
          <w:szCs w:val="24"/>
        </w:rPr>
        <w:t>sporządzenie pisemnego uzasadnienia wyroku wydanego po przeprowadzeniu rozprawy biegnie:</w:t>
      </w:r>
    </w:p>
    <w:p w:rsidR="003D313F" w:rsidRPr="00CA067F" w:rsidRDefault="005B7D88" w:rsidP="00CA067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zawsze od daty doręczenia mu wyroku</w:t>
      </w:r>
      <w:r w:rsidR="003D313F" w:rsidRPr="00CA067F">
        <w:rPr>
          <w:rFonts w:ascii="Verdana" w:hAnsi="Verdana"/>
          <w:color w:val="000000"/>
          <w:sz w:val="24"/>
          <w:szCs w:val="24"/>
        </w:rPr>
        <w:t>;</w:t>
      </w:r>
    </w:p>
    <w:p w:rsidR="003D313F" w:rsidRPr="00CA067F" w:rsidRDefault="005B7D88" w:rsidP="00CA067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od daty ogłoszenia wyroku ale jedynie w przypadku gdy oskarżony stawił się na jego ogłoszenie</w:t>
      </w:r>
      <w:r w:rsidR="003D313F" w:rsidRPr="00CA067F">
        <w:rPr>
          <w:rFonts w:ascii="Verdana" w:hAnsi="Verdana"/>
          <w:color w:val="000000"/>
          <w:sz w:val="24"/>
          <w:szCs w:val="24"/>
        </w:rPr>
        <w:t>;</w:t>
      </w:r>
    </w:p>
    <w:p w:rsidR="005B7D88" w:rsidRPr="00CA067F" w:rsidRDefault="005B7D88" w:rsidP="00CA067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CA067F">
        <w:rPr>
          <w:rFonts w:ascii="Verdana" w:hAnsi="Verdana"/>
          <w:color w:val="000000"/>
          <w:sz w:val="24"/>
          <w:szCs w:val="24"/>
        </w:rPr>
        <w:t>od daty ogłoszenia wyroku niezależnie od tego czy oskarżony stawił się na jego ogłoszenie</w:t>
      </w:r>
      <w:r w:rsidR="003D313F" w:rsidRPr="00CA067F">
        <w:rPr>
          <w:rFonts w:ascii="Verdana" w:hAnsi="Verdana"/>
          <w:color w:val="000000"/>
          <w:sz w:val="24"/>
          <w:szCs w:val="24"/>
        </w:rPr>
        <w:t>.</w:t>
      </w:r>
    </w:p>
    <w:p w:rsidR="005B7D88" w:rsidRPr="00CA067F" w:rsidRDefault="005B7D88" w:rsidP="00CA067F">
      <w:pPr>
        <w:pStyle w:val="Default"/>
        <w:rPr>
          <w:rFonts w:ascii="Verdana" w:hAnsi="Verdana"/>
        </w:rPr>
      </w:pPr>
    </w:p>
    <w:p w:rsidR="00E91AE1" w:rsidRPr="00CA067F" w:rsidRDefault="005B7D88" w:rsidP="00CA067F">
      <w:pPr>
        <w:pStyle w:val="Default"/>
        <w:numPr>
          <w:ilvl w:val="0"/>
          <w:numId w:val="2"/>
        </w:numPr>
        <w:ind w:left="567"/>
        <w:rPr>
          <w:rFonts w:ascii="Verdana" w:hAnsi="Verdana"/>
        </w:rPr>
      </w:pPr>
      <w:r w:rsidRPr="00CA067F">
        <w:rPr>
          <w:rFonts w:ascii="Verdana" w:hAnsi="Verdana"/>
        </w:rPr>
        <w:t>W obowiązującym stanie prawnym zawieszenie wykonania kary dotyczy:</w:t>
      </w:r>
    </w:p>
    <w:p w:rsidR="00E91AE1" w:rsidRPr="00CA067F" w:rsidRDefault="005B7D88" w:rsidP="00CA067F">
      <w:pPr>
        <w:pStyle w:val="Default"/>
        <w:numPr>
          <w:ilvl w:val="0"/>
          <w:numId w:val="47"/>
        </w:numPr>
        <w:rPr>
          <w:rFonts w:ascii="Verdana" w:hAnsi="Verdana"/>
        </w:rPr>
      </w:pPr>
      <w:r w:rsidRPr="00CA067F">
        <w:rPr>
          <w:rFonts w:ascii="Verdana" w:hAnsi="Verdana"/>
        </w:rPr>
        <w:t>wyłącznie kary pozbawiania wolności w wymiarze nieprzekraczającym 2 lat</w:t>
      </w:r>
      <w:r w:rsidR="00E91AE1" w:rsidRPr="00CA067F">
        <w:rPr>
          <w:rFonts w:ascii="Verdana" w:hAnsi="Verdana"/>
        </w:rPr>
        <w:t>;</w:t>
      </w:r>
    </w:p>
    <w:p w:rsidR="00E91AE1" w:rsidRPr="00CA067F" w:rsidRDefault="005B7D88" w:rsidP="00CA067F">
      <w:pPr>
        <w:pStyle w:val="Default"/>
        <w:numPr>
          <w:ilvl w:val="0"/>
          <w:numId w:val="47"/>
        </w:numPr>
        <w:rPr>
          <w:rFonts w:ascii="Verdana" w:hAnsi="Verdana"/>
        </w:rPr>
      </w:pPr>
      <w:r w:rsidRPr="00CA067F">
        <w:rPr>
          <w:rFonts w:ascii="Verdana" w:hAnsi="Verdana"/>
        </w:rPr>
        <w:t>kary grzywny, ograniczenia wolności i pozbawiania wolności</w:t>
      </w:r>
      <w:r w:rsidR="00E91AE1" w:rsidRPr="00CA067F">
        <w:rPr>
          <w:rFonts w:ascii="Verdana" w:hAnsi="Verdana"/>
        </w:rPr>
        <w:t>;</w:t>
      </w:r>
    </w:p>
    <w:p w:rsidR="005B7D88" w:rsidRPr="00CA067F" w:rsidRDefault="005B7D88" w:rsidP="00CA067F">
      <w:pPr>
        <w:pStyle w:val="Default"/>
        <w:numPr>
          <w:ilvl w:val="0"/>
          <w:numId w:val="47"/>
        </w:numPr>
        <w:rPr>
          <w:rFonts w:ascii="Verdana" w:hAnsi="Verdana"/>
        </w:rPr>
      </w:pPr>
      <w:r w:rsidRPr="00CA067F">
        <w:rPr>
          <w:rFonts w:ascii="Verdana" w:hAnsi="Verdana"/>
        </w:rPr>
        <w:t>wyłącznie kary pozbawiania wolności w wymiarze nieprzekraczającym 1 roku</w:t>
      </w:r>
      <w:r w:rsidR="00E91AE1" w:rsidRPr="00CA067F">
        <w:rPr>
          <w:rFonts w:ascii="Verdana" w:hAnsi="Verdana"/>
        </w:rPr>
        <w:t>.</w:t>
      </w:r>
    </w:p>
    <w:p w:rsidR="005B7D88" w:rsidRPr="00CA067F" w:rsidRDefault="005B7D88" w:rsidP="00CA067F">
      <w:pPr>
        <w:pStyle w:val="Default"/>
        <w:rPr>
          <w:rFonts w:ascii="Verdana" w:hAnsi="Verdana"/>
        </w:rPr>
      </w:pPr>
    </w:p>
    <w:p w:rsidR="00C92376" w:rsidRPr="00CA067F" w:rsidRDefault="005B7D88" w:rsidP="00CA067F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/>
        <w:textAlignment w:val="baseline"/>
        <w:rPr>
          <w:rFonts w:ascii="Verdana" w:hAnsi="Verdana"/>
          <w:color w:val="000000"/>
        </w:rPr>
      </w:pPr>
      <w:r w:rsidRPr="00CA067F">
        <w:rPr>
          <w:rFonts w:ascii="Verdana" w:hAnsi="Verdana"/>
          <w:color w:val="000000"/>
        </w:rPr>
        <w:t>W sprawach o przestępstwa ścigane z oskarżenia publicznego, w których postępowanie przygotowawcze prowadzone było w formie dochodzenia udział prokuratora w rozprawie przed sądem rejonowym:</w:t>
      </w:r>
    </w:p>
    <w:p w:rsidR="00C92376" w:rsidRPr="00CA067F" w:rsidRDefault="005B7D88" w:rsidP="00CA067F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</w:rPr>
      </w:pPr>
      <w:r w:rsidRPr="00CA067F">
        <w:rPr>
          <w:rFonts w:ascii="Verdana" w:hAnsi="Verdana"/>
          <w:color w:val="000000"/>
        </w:rPr>
        <w:t>jest zawsze obowiązkowy</w:t>
      </w:r>
      <w:r w:rsidR="00C92376" w:rsidRPr="00CA067F">
        <w:rPr>
          <w:rFonts w:ascii="Verdana" w:hAnsi="Verdana"/>
          <w:color w:val="000000"/>
        </w:rPr>
        <w:t>;</w:t>
      </w:r>
    </w:p>
    <w:p w:rsidR="00C92376" w:rsidRPr="00CA067F" w:rsidRDefault="005B7D88" w:rsidP="00CA067F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</w:rPr>
      </w:pPr>
      <w:r w:rsidRPr="00CA067F">
        <w:rPr>
          <w:rFonts w:ascii="Verdana" w:hAnsi="Verdana"/>
          <w:color w:val="000000"/>
        </w:rPr>
        <w:t>nie jest obowiązkowy</w:t>
      </w:r>
      <w:r w:rsidR="00C92376" w:rsidRPr="00CA067F">
        <w:rPr>
          <w:rFonts w:ascii="Verdana" w:hAnsi="Verdana"/>
          <w:color w:val="000000"/>
        </w:rPr>
        <w:t>;</w:t>
      </w:r>
    </w:p>
    <w:p w:rsidR="005B7D88" w:rsidRPr="00CA067F" w:rsidRDefault="005B7D88" w:rsidP="00CA067F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</w:rPr>
      </w:pPr>
      <w:r w:rsidRPr="00CA067F">
        <w:rPr>
          <w:rFonts w:ascii="Verdana" w:hAnsi="Verdana"/>
          <w:color w:val="000000"/>
        </w:rPr>
        <w:t>nie jest obowiązkowy, jednak p</w:t>
      </w:r>
      <w:r w:rsidRPr="00CA067F">
        <w:rPr>
          <w:rFonts w:ascii="Verdana" w:hAnsi="Verdana"/>
          <w:color w:val="000000"/>
          <w:shd w:val="clear" w:color="auto" w:fill="FFFFFF"/>
        </w:rPr>
        <w:t>rzewodniczący lub sąd mogą uznać obecność oskarżyciela publicznego za obowiązkową.</w:t>
      </w:r>
    </w:p>
    <w:p w:rsidR="003117A7" w:rsidRDefault="003117A7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Default="00F8076D" w:rsidP="00F8076D">
      <w:pPr>
        <w:spacing w:after="160" w:line="259" w:lineRule="auto"/>
        <w:rPr>
          <w:rFonts w:ascii="Verdana" w:eastAsiaTheme="minorHAnsi" w:hAnsi="Verdana"/>
          <w:sz w:val="24"/>
          <w:szCs w:val="24"/>
        </w:rPr>
      </w:pPr>
    </w:p>
    <w:p w:rsidR="00F8076D" w:rsidRDefault="00F8076D" w:rsidP="00F8076D">
      <w:pPr>
        <w:spacing w:after="160" w:line="259" w:lineRule="auto"/>
        <w:rPr>
          <w:rFonts w:ascii="Verdana" w:eastAsiaTheme="minorHAnsi" w:hAnsi="Verdana"/>
          <w:sz w:val="24"/>
          <w:szCs w:val="24"/>
        </w:rPr>
      </w:pPr>
    </w:p>
    <w:p w:rsidR="00F8076D" w:rsidRDefault="00F8076D" w:rsidP="00F8076D">
      <w:pPr>
        <w:spacing w:after="160" w:line="259" w:lineRule="auto"/>
        <w:rPr>
          <w:rFonts w:ascii="Verdana" w:eastAsiaTheme="minorHAnsi" w:hAnsi="Verdana"/>
          <w:sz w:val="24"/>
          <w:szCs w:val="24"/>
        </w:rPr>
      </w:pPr>
    </w:p>
    <w:p w:rsidR="00F8076D" w:rsidRPr="00F8076D" w:rsidRDefault="00F8076D" w:rsidP="00F8076D">
      <w:pPr>
        <w:spacing w:after="160" w:line="259" w:lineRule="auto"/>
        <w:rPr>
          <w:rFonts w:ascii="Verdana" w:eastAsiaTheme="minorHAnsi" w:hAnsi="Verdana"/>
          <w:sz w:val="24"/>
          <w:szCs w:val="24"/>
        </w:rPr>
      </w:pPr>
    </w:p>
    <w:p w:rsidR="00F8076D" w:rsidRPr="00F8076D" w:rsidRDefault="00F8076D" w:rsidP="00F8076D">
      <w:pPr>
        <w:spacing w:after="160" w:line="259" w:lineRule="auto"/>
        <w:rPr>
          <w:rFonts w:ascii="Verdana" w:eastAsiaTheme="minorHAnsi" w:hAnsi="Verdana"/>
          <w:sz w:val="24"/>
          <w:szCs w:val="24"/>
        </w:rPr>
      </w:pPr>
      <w:r w:rsidRPr="00F8076D">
        <w:rPr>
          <w:rFonts w:ascii="Verdana" w:eastAsiaTheme="minorHAnsi" w:hAnsi="Verdana"/>
          <w:sz w:val="24"/>
          <w:szCs w:val="24"/>
        </w:rPr>
        <w:lastRenderedPageBreak/>
        <w:t>Konkurs na stanowisko asystenta sędziego Kd-111-2/2020</w:t>
      </w:r>
    </w:p>
    <w:p w:rsidR="00F8076D" w:rsidRPr="00F8076D" w:rsidRDefault="00F8076D" w:rsidP="00F8076D">
      <w:pPr>
        <w:spacing w:after="160" w:line="259" w:lineRule="auto"/>
        <w:rPr>
          <w:rFonts w:ascii="Verdana" w:eastAsiaTheme="minorHAnsi" w:hAnsi="Verdana"/>
          <w:sz w:val="24"/>
          <w:szCs w:val="24"/>
        </w:rPr>
      </w:pPr>
    </w:p>
    <w:p w:rsidR="00F8076D" w:rsidRPr="00F8076D" w:rsidRDefault="00F8076D" w:rsidP="00F8076D">
      <w:pPr>
        <w:spacing w:after="160" w:line="259" w:lineRule="auto"/>
        <w:rPr>
          <w:rFonts w:ascii="Verdana" w:eastAsiaTheme="minorHAnsi" w:hAnsi="Verdana"/>
          <w:sz w:val="24"/>
          <w:szCs w:val="24"/>
        </w:rPr>
      </w:pPr>
      <w:r w:rsidRPr="00F8076D">
        <w:rPr>
          <w:rFonts w:ascii="Verdana" w:eastAsiaTheme="minorHAnsi" w:hAnsi="Verdana"/>
          <w:sz w:val="24"/>
          <w:szCs w:val="24"/>
        </w:rPr>
        <w:t>Praca pisemna – prawo cywilne</w:t>
      </w:r>
    </w:p>
    <w:p w:rsidR="00F8076D" w:rsidRPr="00F8076D" w:rsidRDefault="00F8076D" w:rsidP="00F8076D">
      <w:pPr>
        <w:spacing w:after="160" w:line="259" w:lineRule="auto"/>
        <w:rPr>
          <w:rFonts w:ascii="Verdana" w:eastAsiaTheme="minorHAnsi" w:hAnsi="Verdana" w:cstheme="minorBidi"/>
          <w:sz w:val="24"/>
          <w:szCs w:val="24"/>
        </w:rPr>
      </w:pPr>
    </w:p>
    <w:p w:rsidR="00F8076D" w:rsidRPr="00F8076D" w:rsidRDefault="00F8076D" w:rsidP="00F8076D">
      <w:pPr>
        <w:spacing w:after="0" w:line="360" w:lineRule="auto"/>
        <w:rPr>
          <w:rFonts w:ascii="Verdana" w:hAnsi="Verdana"/>
          <w:sz w:val="24"/>
          <w:szCs w:val="24"/>
        </w:rPr>
      </w:pPr>
      <w:r w:rsidRPr="00F8076D">
        <w:rPr>
          <w:rFonts w:ascii="Verdana" w:hAnsi="Verdana"/>
          <w:sz w:val="24"/>
          <w:szCs w:val="24"/>
        </w:rPr>
        <w:t xml:space="preserve">Miasto Stołeczne Warszawa dnia 16 stycznia 2020 r. wniosło o zasądzenie od Jana Kowalskiego kwoty 270,40 złotych, uiszczając opłatę od pozwu 30 zł. W uzasadnieniu powód wskazał, że domaga się zapłaty opłaty dodatkowej i należności przewozowej za </w:t>
      </w:r>
      <w:bookmarkStart w:id="0" w:name="_Hlk32842588"/>
      <w:r w:rsidRPr="00F8076D">
        <w:rPr>
          <w:rFonts w:ascii="Verdana" w:hAnsi="Verdana"/>
          <w:sz w:val="24"/>
          <w:szCs w:val="24"/>
        </w:rPr>
        <w:t>korzystanie przez Jana Kowalskiego z komunikacji miejskiej powoda, dnia 17 października 2019 r. linii 175 w Warszawie bez ważnego dokumentu przewozu</w:t>
      </w:r>
      <w:bookmarkEnd w:id="0"/>
      <w:r w:rsidRPr="00F8076D">
        <w:rPr>
          <w:rFonts w:ascii="Verdana" w:hAnsi="Verdana"/>
          <w:sz w:val="24"/>
          <w:szCs w:val="24"/>
        </w:rPr>
        <w:t xml:space="preserve">. Powód powoływał się na stosowną </w:t>
      </w:r>
      <w:r w:rsidRPr="00F8076D">
        <w:rPr>
          <w:rFonts w:ascii="Verdana" w:eastAsia="Times New Roman" w:hAnsi="Verdana"/>
          <w:sz w:val="24"/>
          <w:szCs w:val="24"/>
          <w:lang w:eastAsia="pl-PL"/>
        </w:rPr>
        <w:t xml:space="preserve">uchwałę rady miasta stołecznego Warszawy w sprawie opłat za usługi przewozowe środkami lokalnego transportu zbiorowego w m.st. Warszawie, z której bezspornie wynikało, że opłata dodatkowa za przejazd bez odpowiedniego dokumentu przewozu wynosiła na dzień 17 października 2019 r. </w:t>
      </w:r>
      <w:r w:rsidRPr="00F8076D">
        <w:rPr>
          <w:rFonts w:ascii="Verdana" w:hAnsi="Verdana"/>
          <w:sz w:val="24"/>
          <w:szCs w:val="24"/>
        </w:rPr>
        <w:t xml:space="preserve">266,00 złotych, a </w:t>
      </w:r>
      <w:r w:rsidRPr="00F8076D">
        <w:rPr>
          <w:rFonts w:ascii="Verdana" w:eastAsia="Times New Roman" w:hAnsi="Verdana"/>
          <w:sz w:val="24"/>
          <w:szCs w:val="24"/>
          <w:lang w:eastAsia="pl-PL"/>
        </w:rPr>
        <w:t xml:space="preserve">opłata za przejazd biletem jednorazowym „normalnym” 4,40 zł. </w:t>
      </w:r>
      <w:r w:rsidRPr="00F8076D">
        <w:rPr>
          <w:rFonts w:ascii="Verdana" w:hAnsi="Verdana"/>
          <w:sz w:val="24"/>
          <w:szCs w:val="24"/>
        </w:rPr>
        <w:t>Jako jedyny dowód w sprawie powód złożył sporządzone przez osobę kontrolującą bilety oryginalne wezwanie do zapłaty z dnia 17 października 2019 r. kwoty 270,40 złotych, w tym kwoty 266,00 złotych z tytułu opłaty dodatkowej za przejazd bez biletu oraz 4,40 złotych tytułem należności za przewóz osobie, która poruszała się linią 175. W wezwaniu do zapłaty wpisano następujące dane pasażera: Jan Kowalski, wskazano na imiona jego rodziców, jego datę urodzenia, miejsce zamieszkania i numer dowodu osobistego. Pod wezwaniem znajdował się podpis kontrolera oraz czytelny podpis „Jan Kowalski”.</w:t>
      </w:r>
    </w:p>
    <w:p w:rsidR="00F8076D" w:rsidRPr="00F8076D" w:rsidRDefault="00F8076D" w:rsidP="00F8076D">
      <w:pPr>
        <w:spacing w:after="0" w:line="360" w:lineRule="auto"/>
        <w:rPr>
          <w:rFonts w:ascii="Verdana" w:hAnsi="Verdana"/>
          <w:sz w:val="24"/>
          <w:szCs w:val="24"/>
        </w:rPr>
      </w:pPr>
      <w:r w:rsidRPr="00F8076D">
        <w:rPr>
          <w:rFonts w:ascii="Verdana" w:hAnsi="Verdana"/>
          <w:sz w:val="24"/>
          <w:szCs w:val="24"/>
        </w:rPr>
        <w:t>Jan Kowalski wniósł o oddalenie powództwa, oświadczył, że nigdy nie podróżował tą linią, a podpis złożony pod wezwaniem do zapłaty nie należy do niego, choć przyznał, że jego dane wskazane w tym wezwaniu się zgadzają.</w:t>
      </w:r>
    </w:p>
    <w:p w:rsidR="00F8076D" w:rsidRPr="00F8076D" w:rsidRDefault="00F8076D" w:rsidP="00F8076D">
      <w:pPr>
        <w:spacing w:after="0" w:line="360" w:lineRule="auto"/>
        <w:rPr>
          <w:rFonts w:ascii="Verdana" w:hAnsi="Verdana"/>
          <w:sz w:val="24"/>
          <w:szCs w:val="24"/>
        </w:rPr>
      </w:pPr>
      <w:r w:rsidRPr="00F8076D">
        <w:rPr>
          <w:rFonts w:ascii="Verdana" w:hAnsi="Verdana"/>
          <w:sz w:val="24"/>
          <w:szCs w:val="24"/>
        </w:rPr>
        <w:t xml:space="preserve">Powód na rozprawie podtrzymał wcześniejsze stanowisko, podnosząc, że skoro dane pozwanego stwierdzone w wezwaniu są prawdziwe to ten dokument, wystawiony przez upoważnionego przez powoda kontrolera </w:t>
      </w:r>
      <w:r w:rsidRPr="00F8076D">
        <w:rPr>
          <w:rFonts w:ascii="Verdana" w:hAnsi="Verdana"/>
          <w:sz w:val="24"/>
          <w:szCs w:val="24"/>
        </w:rPr>
        <w:lastRenderedPageBreak/>
        <w:t xml:space="preserve">biletów, stanowi dowód tego, że pozwany  korzystał z komunikacji miejskiej dnia 17 października 2019 r. linii 175 w Warszawie bez ważnego dokumentu przewozu, gdyż dane te musiały zostać wpisane do wezwania z dowodu osobistego okazanego przez pozwanego kontrolerowi podczas kontroli biletów. Powód zaprzeczył, że podpis pod wezwaniem nie należy do pozwanego, wskazując że jest to powszechna linia obrony pozwanych w tego typu sprawach, a pozwany nie zgłaszając dowodu z opinii biegłego z zakresu pisma ręcznego na podnoszoną przez siebie okoliczność nie udowodnił jej. Pozwany będąc prawidłowo zawiadomiony o rozprawie nie stawił się na nią bez usprawiedliwienia. </w:t>
      </w:r>
    </w:p>
    <w:p w:rsidR="00F8076D" w:rsidRPr="00F8076D" w:rsidRDefault="00F8076D" w:rsidP="00F8076D">
      <w:pPr>
        <w:spacing w:after="0"/>
        <w:rPr>
          <w:rFonts w:ascii="Verdana" w:hAnsi="Verdana"/>
          <w:sz w:val="24"/>
          <w:szCs w:val="24"/>
          <w:u w:val="single"/>
        </w:rPr>
      </w:pPr>
    </w:p>
    <w:p w:rsidR="00F8076D" w:rsidRPr="00F8076D" w:rsidRDefault="00F8076D" w:rsidP="00F8076D">
      <w:pPr>
        <w:spacing w:after="0"/>
        <w:rPr>
          <w:rFonts w:ascii="Verdana" w:hAnsi="Verdana"/>
          <w:sz w:val="24"/>
          <w:szCs w:val="24"/>
        </w:rPr>
      </w:pPr>
      <w:r w:rsidRPr="00F8076D">
        <w:rPr>
          <w:rFonts w:ascii="Verdana" w:hAnsi="Verdana"/>
          <w:sz w:val="24"/>
          <w:szCs w:val="24"/>
        </w:rPr>
        <w:t>Proszę zaprojektować treść orzeczenia oraz sporządzić jego uzasadnienie.</w:t>
      </w:r>
    </w:p>
    <w:p w:rsidR="00F8076D" w:rsidRPr="00F8076D" w:rsidRDefault="00F8076D" w:rsidP="00F8076D">
      <w:pPr>
        <w:spacing w:after="160" w:line="259" w:lineRule="auto"/>
        <w:rPr>
          <w:rFonts w:ascii="Verdana" w:eastAsiaTheme="minorHAnsi" w:hAnsi="Verdana"/>
          <w:sz w:val="24"/>
          <w:szCs w:val="24"/>
        </w:rPr>
      </w:pPr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  <w:bookmarkStart w:id="1" w:name="_GoBack"/>
      <w:bookmarkEnd w:id="1"/>
    </w:p>
    <w:p w:rsid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p w:rsidR="00F8076D" w:rsidRPr="00F8076D" w:rsidRDefault="00F8076D" w:rsidP="00F8076D">
      <w:pPr>
        <w:spacing w:after="160" w:line="259" w:lineRule="auto"/>
        <w:rPr>
          <w:rFonts w:ascii="Verdana" w:eastAsiaTheme="minorHAnsi" w:hAnsi="Verdana"/>
          <w:sz w:val="24"/>
          <w:szCs w:val="24"/>
        </w:rPr>
      </w:pPr>
      <w:r w:rsidRPr="00F8076D">
        <w:rPr>
          <w:rFonts w:ascii="Verdana" w:eastAsiaTheme="minorHAnsi" w:hAnsi="Verdana"/>
          <w:sz w:val="24"/>
          <w:szCs w:val="24"/>
        </w:rPr>
        <w:lastRenderedPageBreak/>
        <w:t>Konkurs na stanowisko asystenta sędziego Kd-111-2/2020</w:t>
      </w:r>
    </w:p>
    <w:p w:rsidR="00F8076D" w:rsidRPr="00F8076D" w:rsidRDefault="00F8076D" w:rsidP="00F8076D">
      <w:pPr>
        <w:spacing w:after="160" w:line="259" w:lineRule="auto"/>
        <w:rPr>
          <w:rFonts w:ascii="Verdana" w:eastAsiaTheme="minorHAnsi" w:hAnsi="Verdana"/>
          <w:sz w:val="24"/>
          <w:szCs w:val="24"/>
        </w:rPr>
      </w:pPr>
      <w:r w:rsidRPr="00F8076D">
        <w:rPr>
          <w:rFonts w:ascii="Verdana" w:eastAsiaTheme="minorHAnsi" w:hAnsi="Verdana"/>
          <w:sz w:val="24"/>
          <w:szCs w:val="24"/>
        </w:rPr>
        <w:t>Praca pisemna – prawo karne</w:t>
      </w:r>
    </w:p>
    <w:p w:rsidR="00F8076D" w:rsidRPr="00F8076D" w:rsidRDefault="00F8076D" w:rsidP="00F8076D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F8076D">
        <w:rPr>
          <w:rFonts w:ascii="Verdana" w:hAnsi="Verdana"/>
          <w:color w:val="000000"/>
          <w:sz w:val="24"/>
          <w:szCs w:val="24"/>
        </w:rPr>
        <w:t xml:space="preserve">Kamila K. i Agnieszka Z. znały się od 2011 r., były przyjaciółkami. Agnieszka Z. była lekarzem ginekologiem – położnikiem i od 2012 r. Kamila K. była  jej pacjentką. Gdy w grudniu 2018 r. Kamila K. sądziła, że jest w ciąży poprosiła Agnieszkę Z. aby sprawowała opiekę nad jej przebiegiem. W połowie grudnia, w trakcie badania USG, które przeprowadziła Agnieszka Z. okazało się, że Kamila K. w ogóle nie była w ciąży, a objawy które wcześniej odebrała jako przejaw ciąży wynikały z innych przyczyn.    </w:t>
      </w:r>
    </w:p>
    <w:p w:rsidR="00F8076D" w:rsidRPr="00F8076D" w:rsidRDefault="00F8076D" w:rsidP="00F8076D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F8076D">
        <w:rPr>
          <w:rFonts w:ascii="Verdana" w:hAnsi="Verdana"/>
          <w:color w:val="000000"/>
          <w:sz w:val="24"/>
          <w:szCs w:val="24"/>
        </w:rPr>
        <w:t xml:space="preserve">Kamila K. zdenerwowała się zaistniałą sytuacją, uważała, że była w ciąży, obwiniała Agnieszkę Z. o to, że to skutkiem jej działania doszło u niej do przerwania ciąży, nie przyjmowała do wiadomości okoliczności, że w ogóle nie była w ciąży. </w:t>
      </w:r>
    </w:p>
    <w:p w:rsidR="00F8076D" w:rsidRPr="00F8076D" w:rsidRDefault="00F8076D" w:rsidP="00F8076D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F8076D">
        <w:rPr>
          <w:rFonts w:ascii="Verdana" w:hAnsi="Verdana"/>
          <w:color w:val="000000"/>
          <w:sz w:val="24"/>
          <w:szCs w:val="24"/>
        </w:rPr>
        <w:t xml:space="preserve">Kamila K. od 22 grudnia 2018 r. zaczęła na forach internetowych zamieszczać wpisy w których wskazywała, że Agnieszka Z. nie posiada wystarczających kompetencji aby wykonywać zawód ginekologa – położnika, podnosiła, że przez brak kwalifikacji Agnieszka Z. doprowadziła do rozwiązania jej ciąży, że zabiła jej dziecko, a korzystanie z jej usług przez inne pacjentki może doprowadzić do tragedii.  Wpisy tej treści Kamila K. zamieszczała do dnia 30 stycznia 2019 r. </w:t>
      </w:r>
    </w:p>
    <w:p w:rsidR="00F8076D" w:rsidRPr="00F8076D" w:rsidRDefault="00F8076D" w:rsidP="00F8076D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F8076D">
        <w:rPr>
          <w:rFonts w:ascii="Verdana" w:hAnsi="Verdana"/>
          <w:color w:val="000000"/>
          <w:sz w:val="24"/>
          <w:szCs w:val="24"/>
        </w:rPr>
        <w:t xml:space="preserve">Agnieszka Z. w dniu 15 stycznia 2019 r. przeglądając portale internetowe dowiedziała się o pomawiających ją treściach, które zmieściła Kamila K.  Pomimo tego Agnieszka Z. nie zdecydowała się na podjęcie wobec </w:t>
      </w:r>
      <w:proofErr w:type="spellStart"/>
      <w:r w:rsidRPr="00F8076D">
        <w:rPr>
          <w:rFonts w:ascii="Verdana" w:hAnsi="Verdana"/>
          <w:color w:val="000000"/>
          <w:sz w:val="24"/>
          <w:szCs w:val="24"/>
        </w:rPr>
        <w:t>Kamli</w:t>
      </w:r>
      <w:proofErr w:type="spellEnd"/>
      <w:r w:rsidRPr="00F8076D">
        <w:rPr>
          <w:rFonts w:ascii="Verdana" w:hAnsi="Verdana"/>
          <w:color w:val="000000"/>
          <w:sz w:val="24"/>
          <w:szCs w:val="24"/>
        </w:rPr>
        <w:t xml:space="preserve"> K. żadnych kroków prawnych, skontaktowała się jedynie z Kamilą K. telefonicznie prosząc ją aby ta zaprzestała swoich działań.    </w:t>
      </w:r>
    </w:p>
    <w:p w:rsidR="00F8076D" w:rsidRPr="00F8076D" w:rsidRDefault="00F8076D" w:rsidP="00F8076D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F8076D">
        <w:rPr>
          <w:rFonts w:ascii="Verdana" w:hAnsi="Verdana"/>
          <w:color w:val="000000"/>
          <w:sz w:val="24"/>
          <w:szCs w:val="24"/>
        </w:rPr>
        <w:t xml:space="preserve">W 2020 r. Agnieszka Z. zmieniła decyzję i w dniu 05 lutego 2020 r. wniosła do sądu prywatny akt oskarżenia przeciwko Kamili K. w którym oskarżyła ją  o to, że : </w:t>
      </w:r>
    </w:p>
    <w:p w:rsidR="00F8076D" w:rsidRPr="00F8076D" w:rsidRDefault="00F8076D" w:rsidP="00F8076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color w:val="000000"/>
          <w:sz w:val="24"/>
          <w:szCs w:val="24"/>
          <w:lang w:eastAsia="pl-PL"/>
        </w:rPr>
      </w:pPr>
    </w:p>
    <w:p w:rsidR="00F8076D" w:rsidRPr="00F8076D" w:rsidRDefault="00F8076D" w:rsidP="00F8076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color w:val="000000"/>
          <w:sz w:val="24"/>
          <w:szCs w:val="24"/>
          <w:lang w:eastAsia="pl-PL"/>
        </w:rPr>
      </w:pPr>
      <w:r w:rsidRPr="00F8076D">
        <w:rPr>
          <w:rFonts w:ascii="Verdana" w:eastAsia="Times New Roman" w:hAnsi="Verdana"/>
          <w:color w:val="000000"/>
          <w:sz w:val="24"/>
          <w:szCs w:val="24"/>
          <w:lang w:eastAsia="pl-PL"/>
        </w:rPr>
        <w:t xml:space="preserve">w okresie od dnia 22 grudnia 2018 roku do dnia 30 stycznia 2019 roku w Warszawie działając w krótkich odstępach czasu z góry powziętym zamiarem w celu poniżenia pokrzywdzonej Agnieszki Z w opinii publicznej i narażenia na utratę zaufania potrzebnego do wykonywania przez nią zawodu lekarza o specjalizacji ginekologa-położnika rozgłaszała przeciwko niej publicznie oraz za pomocą środków masowego komunikowania nieprawdziwe zarzuty dotyczące jej osoby oraz wykonywanych przez nią obowiązków zawodowych, tj. o czyn z art. 212 § 1 kk w </w:t>
      </w:r>
      <w:proofErr w:type="spellStart"/>
      <w:r w:rsidRPr="00F8076D">
        <w:rPr>
          <w:rFonts w:ascii="Verdana" w:eastAsia="Times New Roman" w:hAnsi="Verdana"/>
          <w:color w:val="000000"/>
          <w:sz w:val="24"/>
          <w:szCs w:val="24"/>
          <w:lang w:eastAsia="pl-PL"/>
        </w:rPr>
        <w:t>zb.</w:t>
      </w:r>
      <w:proofErr w:type="spellEnd"/>
      <w:r w:rsidRPr="00F8076D">
        <w:rPr>
          <w:rFonts w:ascii="Verdana" w:eastAsia="Times New Roman" w:hAnsi="Verdana"/>
          <w:color w:val="000000"/>
          <w:sz w:val="24"/>
          <w:szCs w:val="24"/>
          <w:lang w:eastAsia="pl-PL"/>
        </w:rPr>
        <w:t xml:space="preserve"> z art. 212 § 2 kk w z art. 11 § 2 kk w zw. z art. 12 kk</w:t>
      </w:r>
    </w:p>
    <w:p w:rsidR="00F8076D" w:rsidRPr="00F8076D" w:rsidRDefault="00F8076D" w:rsidP="00F8076D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:rsidR="00F8076D" w:rsidRPr="00F8076D" w:rsidRDefault="00F8076D" w:rsidP="00F8076D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color w:val="000000"/>
          <w:sz w:val="24"/>
          <w:szCs w:val="24"/>
        </w:rPr>
      </w:pPr>
      <w:r w:rsidRPr="00F8076D">
        <w:rPr>
          <w:rFonts w:ascii="Verdana" w:hAnsi="Verdana"/>
          <w:bCs/>
          <w:color w:val="000000"/>
          <w:sz w:val="24"/>
          <w:szCs w:val="24"/>
        </w:rPr>
        <w:t>Proszę przygotować propozycję orzeczenia jakie powinno być w sprawie wydane wraz z krótkim uzasadnieniem, podaniem podstawy prawnej oraz wskazać czy orzeczenie jest zaskarżalne, a jeśli tak to w jaki sposób i w jakim terminie.</w:t>
      </w:r>
    </w:p>
    <w:p w:rsidR="00F8076D" w:rsidRPr="00F8076D" w:rsidRDefault="00F8076D" w:rsidP="00F8076D">
      <w:pPr>
        <w:spacing w:after="160" w:line="259" w:lineRule="auto"/>
        <w:rPr>
          <w:rFonts w:ascii="Verdana" w:eastAsiaTheme="minorHAnsi" w:hAnsi="Verdana"/>
          <w:sz w:val="24"/>
          <w:szCs w:val="24"/>
        </w:rPr>
      </w:pPr>
    </w:p>
    <w:p w:rsidR="00F8076D" w:rsidRPr="00F8076D" w:rsidRDefault="00F8076D" w:rsidP="00CA067F">
      <w:pPr>
        <w:spacing w:before="120" w:line="240" w:lineRule="auto"/>
        <w:rPr>
          <w:rFonts w:ascii="Verdana" w:hAnsi="Verdana"/>
          <w:sz w:val="24"/>
          <w:szCs w:val="24"/>
        </w:rPr>
      </w:pPr>
    </w:p>
    <w:sectPr w:rsidR="00F8076D" w:rsidRPr="00F8076D" w:rsidSect="003117A7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495" w:rsidRDefault="00444495" w:rsidP="005553F7">
      <w:pPr>
        <w:spacing w:after="0" w:line="240" w:lineRule="auto"/>
      </w:pPr>
      <w:r>
        <w:separator/>
      </w:r>
    </w:p>
  </w:endnote>
  <w:endnote w:type="continuationSeparator" w:id="0">
    <w:p w:rsidR="00444495" w:rsidRDefault="00444495" w:rsidP="0055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3F7" w:rsidRDefault="00555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495" w:rsidRDefault="00444495" w:rsidP="005553F7">
      <w:pPr>
        <w:spacing w:after="0" w:line="240" w:lineRule="auto"/>
      </w:pPr>
      <w:r>
        <w:separator/>
      </w:r>
    </w:p>
  </w:footnote>
  <w:footnote w:type="continuationSeparator" w:id="0">
    <w:p w:rsidR="00444495" w:rsidRDefault="00444495" w:rsidP="0055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3CD6"/>
    <w:multiLevelType w:val="hybridMultilevel"/>
    <w:tmpl w:val="3CCA735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352A5"/>
    <w:multiLevelType w:val="hybridMultilevel"/>
    <w:tmpl w:val="28E2E2A4"/>
    <w:lvl w:ilvl="0" w:tplc="120CAB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D571C"/>
    <w:multiLevelType w:val="hybridMultilevel"/>
    <w:tmpl w:val="3A4CE0E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C7812"/>
    <w:multiLevelType w:val="hybridMultilevel"/>
    <w:tmpl w:val="9F7CD01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C86AB0"/>
    <w:multiLevelType w:val="hybridMultilevel"/>
    <w:tmpl w:val="092AF91A"/>
    <w:lvl w:ilvl="0" w:tplc="6C0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AC1C90"/>
    <w:multiLevelType w:val="hybridMultilevel"/>
    <w:tmpl w:val="CEF07B12"/>
    <w:lvl w:ilvl="0" w:tplc="F02092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99231A"/>
    <w:multiLevelType w:val="hybridMultilevel"/>
    <w:tmpl w:val="455A1FB2"/>
    <w:lvl w:ilvl="0" w:tplc="7B1A04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75B29"/>
    <w:multiLevelType w:val="hybridMultilevel"/>
    <w:tmpl w:val="8AC2A1CA"/>
    <w:lvl w:ilvl="0" w:tplc="0D0E4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E080D"/>
    <w:multiLevelType w:val="hybridMultilevel"/>
    <w:tmpl w:val="13B8ED2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A04C0D"/>
    <w:multiLevelType w:val="hybridMultilevel"/>
    <w:tmpl w:val="9A70647C"/>
    <w:lvl w:ilvl="0" w:tplc="32E006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F457D6"/>
    <w:multiLevelType w:val="hybridMultilevel"/>
    <w:tmpl w:val="C43A9B3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F06CC0"/>
    <w:multiLevelType w:val="hybridMultilevel"/>
    <w:tmpl w:val="C6C4F1E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D0CDB"/>
    <w:multiLevelType w:val="hybridMultilevel"/>
    <w:tmpl w:val="AD8C46A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64FB3"/>
    <w:multiLevelType w:val="hybridMultilevel"/>
    <w:tmpl w:val="9F0E5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394113"/>
    <w:multiLevelType w:val="hybridMultilevel"/>
    <w:tmpl w:val="597AF4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1361D"/>
    <w:multiLevelType w:val="hybridMultilevel"/>
    <w:tmpl w:val="64F235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817F6"/>
    <w:multiLevelType w:val="hybridMultilevel"/>
    <w:tmpl w:val="D59A0BB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CF0F16"/>
    <w:multiLevelType w:val="hybridMultilevel"/>
    <w:tmpl w:val="E598B8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00263"/>
    <w:multiLevelType w:val="hybridMultilevel"/>
    <w:tmpl w:val="80A831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F705E"/>
    <w:multiLevelType w:val="hybridMultilevel"/>
    <w:tmpl w:val="39D03C0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777EF7"/>
    <w:multiLevelType w:val="hybridMultilevel"/>
    <w:tmpl w:val="2018A26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C062AE"/>
    <w:multiLevelType w:val="hybridMultilevel"/>
    <w:tmpl w:val="DAA6C8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890285"/>
    <w:multiLevelType w:val="hybridMultilevel"/>
    <w:tmpl w:val="051C8388"/>
    <w:lvl w:ilvl="0" w:tplc="350A1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5C411F"/>
    <w:multiLevelType w:val="hybridMultilevel"/>
    <w:tmpl w:val="FC46BE2E"/>
    <w:lvl w:ilvl="0" w:tplc="04150019">
      <w:start w:val="1"/>
      <w:numFmt w:val="lowerLetter"/>
      <w:lvlText w:val="%1."/>
      <w:lvlJc w:val="left"/>
      <w:pPr>
        <w:ind w:left="1151" w:hanging="360"/>
      </w:pPr>
    </w:lvl>
    <w:lvl w:ilvl="1" w:tplc="04150019">
      <w:start w:val="1"/>
      <w:numFmt w:val="lowerLetter"/>
      <w:lvlText w:val="%2."/>
      <w:lvlJc w:val="left"/>
      <w:pPr>
        <w:ind w:left="1871" w:hanging="360"/>
      </w:pPr>
    </w:lvl>
    <w:lvl w:ilvl="2" w:tplc="0415001B">
      <w:start w:val="1"/>
      <w:numFmt w:val="lowerRoman"/>
      <w:lvlText w:val="%3."/>
      <w:lvlJc w:val="right"/>
      <w:pPr>
        <w:ind w:left="2591" w:hanging="180"/>
      </w:pPr>
    </w:lvl>
    <w:lvl w:ilvl="3" w:tplc="0415000F">
      <w:start w:val="1"/>
      <w:numFmt w:val="decimal"/>
      <w:lvlText w:val="%4."/>
      <w:lvlJc w:val="left"/>
      <w:pPr>
        <w:ind w:left="3311" w:hanging="360"/>
      </w:pPr>
    </w:lvl>
    <w:lvl w:ilvl="4" w:tplc="04150019">
      <w:start w:val="1"/>
      <w:numFmt w:val="lowerLetter"/>
      <w:lvlText w:val="%5."/>
      <w:lvlJc w:val="left"/>
      <w:pPr>
        <w:ind w:left="4031" w:hanging="360"/>
      </w:pPr>
    </w:lvl>
    <w:lvl w:ilvl="5" w:tplc="0415001B">
      <w:start w:val="1"/>
      <w:numFmt w:val="lowerRoman"/>
      <w:lvlText w:val="%6."/>
      <w:lvlJc w:val="right"/>
      <w:pPr>
        <w:ind w:left="4751" w:hanging="180"/>
      </w:pPr>
    </w:lvl>
    <w:lvl w:ilvl="6" w:tplc="0415000F">
      <w:start w:val="1"/>
      <w:numFmt w:val="decimal"/>
      <w:lvlText w:val="%7."/>
      <w:lvlJc w:val="left"/>
      <w:pPr>
        <w:ind w:left="5471" w:hanging="360"/>
      </w:pPr>
    </w:lvl>
    <w:lvl w:ilvl="7" w:tplc="04150019">
      <w:start w:val="1"/>
      <w:numFmt w:val="lowerLetter"/>
      <w:lvlText w:val="%8."/>
      <w:lvlJc w:val="left"/>
      <w:pPr>
        <w:ind w:left="6191" w:hanging="360"/>
      </w:pPr>
    </w:lvl>
    <w:lvl w:ilvl="8" w:tplc="0415001B">
      <w:start w:val="1"/>
      <w:numFmt w:val="lowerRoman"/>
      <w:lvlText w:val="%9."/>
      <w:lvlJc w:val="right"/>
      <w:pPr>
        <w:ind w:left="6911" w:hanging="180"/>
      </w:pPr>
    </w:lvl>
  </w:abstractNum>
  <w:abstractNum w:abstractNumId="24" w15:restartNumberingAfterBreak="0">
    <w:nsid w:val="3D9C3E32"/>
    <w:multiLevelType w:val="hybridMultilevel"/>
    <w:tmpl w:val="26D4E15A"/>
    <w:lvl w:ilvl="0" w:tplc="BA26EF1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BD3D78"/>
    <w:multiLevelType w:val="hybridMultilevel"/>
    <w:tmpl w:val="EDB28FB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600BB0"/>
    <w:multiLevelType w:val="hybridMultilevel"/>
    <w:tmpl w:val="47A054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B92A5A"/>
    <w:multiLevelType w:val="hybridMultilevel"/>
    <w:tmpl w:val="DFC887D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206DCC"/>
    <w:multiLevelType w:val="hybridMultilevel"/>
    <w:tmpl w:val="A0D0FCC2"/>
    <w:lvl w:ilvl="0" w:tplc="8CE0F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A07DB9"/>
    <w:multiLevelType w:val="hybridMultilevel"/>
    <w:tmpl w:val="ED60186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5917DE"/>
    <w:multiLevelType w:val="hybridMultilevel"/>
    <w:tmpl w:val="0F6A948E"/>
    <w:lvl w:ilvl="0" w:tplc="350A1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DE6E10"/>
    <w:multiLevelType w:val="hybridMultilevel"/>
    <w:tmpl w:val="91A255EC"/>
    <w:lvl w:ilvl="0" w:tplc="E81E8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EF1071"/>
    <w:multiLevelType w:val="hybridMultilevel"/>
    <w:tmpl w:val="551A2254"/>
    <w:lvl w:ilvl="0" w:tplc="70EA3EB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5E07BD"/>
    <w:multiLevelType w:val="hybridMultilevel"/>
    <w:tmpl w:val="FB2EBEA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F80F8C"/>
    <w:multiLevelType w:val="hybridMultilevel"/>
    <w:tmpl w:val="1E88A32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00481D"/>
    <w:multiLevelType w:val="hybridMultilevel"/>
    <w:tmpl w:val="0DD0644E"/>
    <w:lvl w:ilvl="0" w:tplc="5D70ECDA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2D5911"/>
    <w:multiLevelType w:val="hybridMultilevel"/>
    <w:tmpl w:val="58F659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A7C"/>
    <w:multiLevelType w:val="hybridMultilevel"/>
    <w:tmpl w:val="08D8826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A4398A"/>
    <w:multiLevelType w:val="hybridMultilevel"/>
    <w:tmpl w:val="DBDAE432"/>
    <w:lvl w:ilvl="0" w:tplc="3B408CE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EE1CDA"/>
    <w:multiLevelType w:val="hybridMultilevel"/>
    <w:tmpl w:val="FE3494E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5D4D4A"/>
    <w:multiLevelType w:val="hybridMultilevel"/>
    <w:tmpl w:val="AAE6E4D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7D7EFB"/>
    <w:multiLevelType w:val="hybridMultilevel"/>
    <w:tmpl w:val="730645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61ADD"/>
    <w:multiLevelType w:val="hybridMultilevel"/>
    <w:tmpl w:val="B18257C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753429"/>
    <w:multiLevelType w:val="hybridMultilevel"/>
    <w:tmpl w:val="4E9C2110"/>
    <w:lvl w:ilvl="0" w:tplc="9F560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4C61B6"/>
    <w:multiLevelType w:val="hybridMultilevel"/>
    <w:tmpl w:val="A1ACB70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034B75"/>
    <w:multiLevelType w:val="hybridMultilevel"/>
    <w:tmpl w:val="2B8AA21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BB351B3"/>
    <w:multiLevelType w:val="hybridMultilevel"/>
    <w:tmpl w:val="2326BB8E"/>
    <w:lvl w:ilvl="0" w:tplc="46409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9F406A"/>
    <w:multiLevelType w:val="hybridMultilevel"/>
    <w:tmpl w:val="D32E3ED0"/>
    <w:lvl w:ilvl="0" w:tplc="2D4C48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9"/>
  </w:num>
  <w:num w:numId="4">
    <w:abstractNumId w:val="1"/>
  </w:num>
  <w:num w:numId="5">
    <w:abstractNumId w:val="45"/>
  </w:num>
  <w:num w:numId="6">
    <w:abstractNumId w:val="5"/>
  </w:num>
  <w:num w:numId="7">
    <w:abstractNumId w:val="30"/>
  </w:num>
  <w:num w:numId="8">
    <w:abstractNumId w:val="3"/>
  </w:num>
  <w:num w:numId="9">
    <w:abstractNumId w:val="31"/>
  </w:num>
  <w:num w:numId="10">
    <w:abstractNumId w:val="28"/>
  </w:num>
  <w:num w:numId="11">
    <w:abstractNumId w:val="32"/>
  </w:num>
  <w:num w:numId="12">
    <w:abstractNumId w:val="46"/>
  </w:num>
  <w:num w:numId="13">
    <w:abstractNumId w:val="4"/>
  </w:num>
  <w:num w:numId="14">
    <w:abstractNumId w:val="6"/>
  </w:num>
  <w:num w:numId="15">
    <w:abstractNumId w:val="24"/>
  </w:num>
  <w:num w:numId="16">
    <w:abstractNumId w:val="7"/>
  </w:num>
  <w:num w:numId="17">
    <w:abstractNumId w:val="43"/>
  </w:num>
  <w:num w:numId="18">
    <w:abstractNumId w:val="22"/>
  </w:num>
  <w:num w:numId="19">
    <w:abstractNumId w:val="35"/>
  </w:num>
  <w:num w:numId="20">
    <w:abstractNumId w:val="3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4"/>
  </w:num>
  <w:num w:numId="33">
    <w:abstractNumId w:val="2"/>
  </w:num>
  <w:num w:numId="34">
    <w:abstractNumId w:val="26"/>
  </w:num>
  <w:num w:numId="35">
    <w:abstractNumId w:val="40"/>
  </w:num>
  <w:num w:numId="36">
    <w:abstractNumId w:val="29"/>
  </w:num>
  <w:num w:numId="37">
    <w:abstractNumId w:val="19"/>
  </w:num>
  <w:num w:numId="38">
    <w:abstractNumId w:val="33"/>
  </w:num>
  <w:num w:numId="39">
    <w:abstractNumId w:val="10"/>
  </w:num>
  <w:num w:numId="40">
    <w:abstractNumId w:val="8"/>
  </w:num>
  <w:num w:numId="41">
    <w:abstractNumId w:val="21"/>
  </w:num>
  <w:num w:numId="42">
    <w:abstractNumId w:val="39"/>
  </w:num>
  <w:num w:numId="43">
    <w:abstractNumId w:val="37"/>
  </w:num>
  <w:num w:numId="44">
    <w:abstractNumId w:val="44"/>
  </w:num>
  <w:num w:numId="45">
    <w:abstractNumId w:val="0"/>
  </w:num>
  <w:num w:numId="46">
    <w:abstractNumId w:val="16"/>
  </w:num>
  <w:num w:numId="47">
    <w:abstractNumId w:val="42"/>
  </w:num>
  <w:num w:numId="48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A83"/>
    <w:rsid w:val="00190C38"/>
    <w:rsid w:val="001970AA"/>
    <w:rsid w:val="001B1A83"/>
    <w:rsid w:val="00284069"/>
    <w:rsid w:val="003064B8"/>
    <w:rsid w:val="003117A7"/>
    <w:rsid w:val="00324CA3"/>
    <w:rsid w:val="003C2CBF"/>
    <w:rsid w:val="003D313F"/>
    <w:rsid w:val="00444495"/>
    <w:rsid w:val="004A66C3"/>
    <w:rsid w:val="004D4F3D"/>
    <w:rsid w:val="004E31F4"/>
    <w:rsid w:val="005553F7"/>
    <w:rsid w:val="0058102B"/>
    <w:rsid w:val="00584B01"/>
    <w:rsid w:val="00592717"/>
    <w:rsid w:val="005B7D88"/>
    <w:rsid w:val="006A78AC"/>
    <w:rsid w:val="006B6B45"/>
    <w:rsid w:val="006E7776"/>
    <w:rsid w:val="006F0553"/>
    <w:rsid w:val="00771C02"/>
    <w:rsid w:val="007B2E21"/>
    <w:rsid w:val="007C54E1"/>
    <w:rsid w:val="007E5A98"/>
    <w:rsid w:val="008A1129"/>
    <w:rsid w:val="008A53B0"/>
    <w:rsid w:val="008D76B0"/>
    <w:rsid w:val="009A7A92"/>
    <w:rsid w:val="009C4727"/>
    <w:rsid w:val="00B30E27"/>
    <w:rsid w:val="00C053F8"/>
    <w:rsid w:val="00C76655"/>
    <w:rsid w:val="00C91ECA"/>
    <w:rsid w:val="00C92376"/>
    <w:rsid w:val="00CA067F"/>
    <w:rsid w:val="00D340FB"/>
    <w:rsid w:val="00D8440A"/>
    <w:rsid w:val="00DD23BC"/>
    <w:rsid w:val="00E618C1"/>
    <w:rsid w:val="00E91AE1"/>
    <w:rsid w:val="00EF1589"/>
    <w:rsid w:val="00EF719E"/>
    <w:rsid w:val="00F75AFF"/>
    <w:rsid w:val="00F8076D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71AB"/>
  <w15:chartTrackingRefBased/>
  <w15:docId w15:val="{8FEDF464-A8B9-498A-92AA-66C9AD93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7A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B7D8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7D8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1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17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3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3F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3F7"/>
    <w:rPr>
      <w:rFonts w:ascii="Segoe UI" w:eastAsia="Calibri" w:hAnsi="Segoe UI" w:cs="Segoe UI"/>
      <w:sz w:val="18"/>
      <w:szCs w:val="18"/>
    </w:rPr>
  </w:style>
  <w:style w:type="character" w:customStyle="1" w:styleId="tabulatory">
    <w:name w:val="tabulatory"/>
    <w:basedOn w:val="Domylnaczcionkaakapitu"/>
    <w:rsid w:val="00592717"/>
  </w:style>
  <w:style w:type="character" w:customStyle="1" w:styleId="Nagwek2Znak">
    <w:name w:val="Nagłówek 2 Znak"/>
    <w:basedOn w:val="Domylnaczcionkaakapitu"/>
    <w:link w:val="Nagwek2"/>
    <w:rsid w:val="005B7D8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7D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semiHidden/>
    <w:unhideWhenUsed/>
    <w:rsid w:val="005B7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questiontext">
    <w:name w:val="question_text"/>
    <w:basedOn w:val="Domylnaczcionkaakapitu"/>
    <w:rsid w:val="005B7D88"/>
  </w:style>
  <w:style w:type="character" w:customStyle="1" w:styleId="answer">
    <w:name w:val="answer"/>
    <w:basedOn w:val="Domylnaczcionkaakapitu"/>
    <w:rsid w:val="005B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1982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KONKURS NA STANOWISKO ASYSTENTA SĘDZIEGO KD-111-2/2020</dc:creator>
  <cp:keywords/>
  <dc:description/>
  <cp:lastModifiedBy>Meder Krzysztof</cp:lastModifiedBy>
  <cp:revision>22</cp:revision>
  <cp:lastPrinted>2019-09-12T10:50:00Z</cp:lastPrinted>
  <dcterms:created xsi:type="dcterms:W3CDTF">2019-07-16T09:45:00Z</dcterms:created>
  <dcterms:modified xsi:type="dcterms:W3CDTF">2021-11-09T08:35:00Z</dcterms:modified>
</cp:coreProperties>
</file>