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D5D" w:rsidRDefault="00AD2D5D" w:rsidP="003D4AED">
      <w:pPr>
        <w:jc w:val="center"/>
        <w:rPr>
          <w:sz w:val="2"/>
          <w:szCs w:val="2"/>
        </w:rPr>
      </w:pPr>
    </w:p>
    <w:p w:rsidR="002D33D7" w:rsidRPr="002D33D7" w:rsidRDefault="002D33D7" w:rsidP="002D33D7">
      <w:pPr>
        <w:spacing w:line="276" w:lineRule="auto"/>
        <w:rPr>
          <w:rFonts w:ascii="Verdana" w:hAnsi="Verdana"/>
        </w:rPr>
      </w:pPr>
    </w:p>
    <w:p w:rsidR="002D33D7" w:rsidRPr="002D33D7" w:rsidRDefault="002D33D7" w:rsidP="002D33D7">
      <w:pPr>
        <w:keepNext/>
        <w:keepLines/>
        <w:spacing w:after="456" w:line="276" w:lineRule="auto"/>
        <w:ind w:left="280" w:right="-40"/>
        <w:outlineLvl w:val="0"/>
        <w:rPr>
          <w:rFonts w:ascii="Verdana" w:eastAsia="Bookman Old Style" w:hAnsi="Verdana" w:cs="Bookman Old Style"/>
          <w:bCs/>
        </w:rPr>
      </w:pPr>
      <w:bookmarkStart w:id="0" w:name="bookmark1"/>
      <w:r w:rsidRPr="002D33D7">
        <w:rPr>
          <w:rFonts w:ascii="Verdana" w:eastAsia="Bookman Old Style" w:hAnsi="Verdana" w:cs="Bookman Old Style"/>
          <w:bCs/>
        </w:rPr>
        <w:t>Test na konkurs na stanowisko asystenta sędziego (kd-111-10/17) przeprowadzony w dniu 31 października 2017 r.</w:t>
      </w:r>
      <w:bookmarkEnd w:id="0"/>
    </w:p>
    <w:p w:rsidR="002D33D7" w:rsidRPr="002D33D7" w:rsidRDefault="002D33D7" w:rsidP="002D33D7">
      <w:pPr>
        <w:spacing w:line="276" w:lineRule="auto"/>
        <w:rPr>
          <w:rFonts w:ascii="Verdana" w:hAnsi="Verdana"/>
        </w:rPr>
      </w:pPr>
    </w:p>
    <w:p w:rsidR="002D33D7" w:rsidRPr="002D33D7" w:rsidRDefault="002D33D7" w:rsidP="002D33D7">
      <w:pPr>
        <w:spacing w:line="276" w:lineRule="auto"/>
        <w:rPr>
          <w:rFonts w:ascii="Verdana" w:hAnsi="Verdana"/>
        </w:rPr>
      </w:pPr>
      <w:bookmarkStart w:id="1" w:name="bookmark2"/>
    </w:p>
    <w:p w:rsidR="002D33D7" w:rsidRPr="002D33D7" w:rsidRDefault="002D33D7" w:rsidP="002D33D7">
      <w:pPr>
        <w:keepNext/>
        <w:keepLines/>
        <w:spacing w:before="306" w:after="364" w:line="276" w:lineRule="auto"/>
        <w:ind w:left="280"/>
        <w:outlineLvl w:val="1"/>
        <w:rPr>
          <w:rFonts w:ascii="Verdana" w:eastAsia="Bookman Old Style" w:hAnsi="Verdana" w:cs="Bookman Old Style"/>
          <w:bCs/>
        </w:rPr>
      </w:pPr>
      <w:r w:rsidRPr="002D33D7">
        <w:rPr>
          <w:rFonts w:ascii="Verdana" w:eastAsia="Bookman Old Style" w:hAnsi="Verdana" w:cs="Bookman Old Style"/>
          <w:bCs/>
        </w:rPr>
        <w:t>Część I - pytania z zakresu prawa cywilnego oraz postępowania cywilnego</w:t>
      </w:r>
      <w:bookmarkEnd w:id="1"/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648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2" w:name="bookmark3"/>
      <w:r w:rsidRPr="002D33D7">
        <w:rPr>
          <w:rFonts w:ascii="Verdana" w:eastAsia="Bookman Old Style" w:hAnsi="Verdana" w:cs="Bookman Old Style"/>
          <w:bCs/>
        </w:rPr>
        <w:t xml:space="preserve">Dziecko poczęte, nienarodzone </w:t>
      </w:r>
      <w:r w:rsidRPr="002D33D7">
        <w:rPr>
          <w:rFonts w:ascii="Verdana" w:eastAsia="Bookman Old Style" w:hAnsi="Verdana" w:cs="Bookman Old Style"/>
          <w:bCs/>
          <w:lang w:val="de-DE" w:eastAsia="de-DE" w:bidi="de-DE"/>
        </w:rPr>
        <w:t>(</w:t>
      </w:r>
      <w:proofErr w:type="spellStart"/>
      <w:r w:rsidRPr="002D33D7">
        <w:rPr>
          <w:rFonts w:ascii="Verdana" w:eastAsia="Bookman Old Style" w:hAnsi="Verdana" w:cs="Bookman Old Style"/>
          <w:bCs/>
          <w:lang w:val="de-DE" w:eastAsia="de-DE" w:bidi="de-DE"/>
        </w:rPr>
        <w:t>nasciturus</w:t>
      </w:r>
      <w:proofErr w:type="spellEnd"/>
      <w:r w:rsidRPr="002D33D7">
        <w:rPr>
          <w:rFonts w:ascii="Verdana" w:eastAsia="Bookman Old Style" w:hAnsi="Verdana" w:cs="Bookman Old Style"/>
          <w:bCs/>
          <w:lang w:val="de-DE" w:eastAsia="de-DE" w:bidi="de-DE"/>
        </w:rPr>
        <w:t xml:space="preserve">), </w:t>
      </w:r>
      <w:r w:rsidRPr="002D33D7">
        <w:rPr>
          <w:rFonts w:ascii="Verdana" w:eastAsia="Bookman Old Style" w:hAnsi="Verdana" w:cs="Bookman Old Style"/>
          <w:bCs/>
        </w:rPr>
        <w:t>ma od chwili poczęcia:</w:t>
      </w:r>
      <w:bookmarkEnd w:id="2"/>
    </w:p>
    <w:p w:rsidR="002D33D7" w:rsidRPr="002D33D7" w:rsidRDefault="002D33D7" w:rsidP="002D33D7">
      <w:pPr>
        <w:numPr>
          <w:ilvl w:val="0"/>
          <w:numId w:val="3"/>
        </w:numPr>
        <w:tabs>
          <w:tab w:val="left" w:pos="64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warunkową zdolność prawną zawsze wówczas, gdy chodzi o jego korzyść,</w:t>
      </w:r>
    </w:p>
    <w:p w:rsidR="002D33D7" w:rsidRPr="002D33D7" w:rsidRDefault="002D33D7" w:rsidP="002D33D7">
      <w:pPr>
        <w:numPr>
          <w:ilvl w:val="0"/>
          <w:numId w:val="3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nie ma zdolności prawnej,</w:t>
      </w:r>
    </w:p>
    <w:p w:rsidR="002D33D7" w:rsidRPr="002D33D7" w:rsidRDefault="002D33D7" w:rsidP="002D33D7">
      <w:pPr>
        <w:numPr>
          <w:ilvl w:val="0"/>
          <w:numId w:val="3"/>
        </w:numPr>
        <w:tabs>
          <w:tab w:val="left" w:pos="658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bezwarunkową zdolność prawną.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672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3" w:name="bookmark4"/>
      <w:r w:rsidRPr="002D33D7">
        <w:rPr>
          <w:rFonts w:ascii="Verdana" w:eastAsia="Bookman Old Style" w:hAnsi="Verdana" w:cs="Bookman Old Style"/>
          <w:bCs/>
        </w:rPr>
        <w:t>Rzeczą jest:</w:t>
      </w:r>
      <w:bookmarkEnd w:id="3"/>
    </w:p>
    <w:p w:rsidR="002D33D7" w:rsidRPr="002D33D7" w:rsidRDefault="002D33D7" w:rsidP="002D33D7">
      <w:pPr>
        <w:numPr>
          <w:ilvl w:val="0"/>
          <w:numId w:val="4"/>
        </w:numPr>
        <w:tabs>
          <w:tab w:val="left" w:pos="64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cegła w murze,</w:t>
      </w:r>
    </w:p>
    <w:p w:rsidR="002D33D7" w:rsidRPr="002D33D7" w:rsidRDefault="002D33D7" w:rsidP="002D33D7">
      <w:pPr>
        <w:numPr>
          <w:ilvl w:val="0"/>
          <w:numId w:val="4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koło znajdujące się w fabryce opon,</w:t>
      </w:r>
    </w:p>
    <w:p w:rsidR="002D33D7" w:rsidRPr="002D33D7" w:rsidRDefault="002D33D7" w:rsidP="002D33D7">
      <w:pPr>
        <w:numPr>
          <w:ilvl w:val="0"/>
          <w:numId w:val="4"/>
        </w:numPr>
        <w:tabs>
          <w:tab w:val="left" w:pos="658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pokój w czteroizbowym mieszkaniu.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672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4" w:name="bookmark5"/>
      <w:r w:rsidRPr="002D33D7">
        <w:rPr>
          <w:rFonts w:ascii="Verdana" w:eastAsia="Bookman Old Style" w:hAnsi="Verdana" w:cs="Bookman Old Style"/>
          <w:bCs/>
        </w:rPr>
        <w:t>Podstęp osoby trzeciej jest jednoznaczny z podstępem strony:</w:t>
      </w:r>
      <w:bookmarkEnd w:id="4"/>
    </w:p>
    <w:p w:rsidR="002D33D7" w:rsidRPr="002D33D7" w:rsidRDefault="002D33D7" w:rsidP="002D33D7">
      <w:pPr>
        <w:numPr>
          <w:ilvl w:val="0"/>
          <w:numId w:val="5"/>
        </w:numPr>
        <w:tabs>
          <w:tab w:val="left" w:pos="64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jeżeli strona, wiedząc o podstępie, osoby trzeciej, nie powiadomiła o tym drugiej strony,</w:t>
      </w:r>
    </w:p>
    <w:p w:rsidR="002D33D7" w:rsidRPr="002D33D7" w:rsidRDefault="002D33D7" w:rsidP="002D33D7">
      <w:pPr>
        <w:numPr>
          <w:ilvl w:val="0"/>
          <w:numId w:val="5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jeżeli strona powinna była wiedzieć o podstępie osoby trzeciej,</w:t>
      </w:r>
    </w:p>
    <w:p w:rsidR="002D33D7" w:rsidRPr="002D33D7" w:rsidRDefault="002D33D7" w:rsidP="002D33D7">
      <w:pPr>
        <w:numPr>
          <w:ilvl w:val="0"/>
          <w:numId w:val="5"/>
        </w:numPr>
        <w:tabs>
          <w:tab w:val="left" w:pos="658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jeżeli umowa była odpłatna.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677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5" w:name="bookmark6"/>
      <w:r w:rsidRPr="002D33D7">
        <w:rPr>
          <w:rFonts w:ascii="Verdana" w:eastAsia="Bookman Old Style" w:hAnsi="Verdana" w:cs="Bookman Old Style"/>
          <w:bCs/>
        </w:rPr>
        <w:t>Umowa przedwstępna:</w:t>
      </w:r>
      <w:bookmarkEnd w:id="5"/>
    </w:p>
    <w:p w:rsidR="002D33D7" w:rsidRPr="002D33D7" w:rsidRDefault="002D33D7" w:rsidP="002D33D7">
      <w:pPr>
        <w:numPr>
          <w:ilvl w:val="0"/>
          <w:numId w:val="6"/>
        </w:numPr>
        <w:tabs>
          <w:tab w:val="left" w:pos="64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jest co do zasady umową o podwójnym skutku,</w:t>
      </w:r>
    </w:p>
    <w:p w:rsidR="002D33D7" w:rsidRPr="002D33D7" w:rsidRDefault="002D33D7" w:rsidP="002D33D7">
      <w:pPr>
        <w:numPr>
          <w:ilvl w:val="0"/>
          <w:numId w:val="6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zawsze jest umową zobowiązującą,</w:t>
      </w:r>
    </w:p>
    <w:p w:rsidR="002D33D7" w:rsidRPr="002D33D7" w:rsidRDefault="002D33D7" w:rsidP="002D33D7">
      <w:pPr>
        <w:numPr>
          <w:ilvl w:val="0"/>
          <w:numId w:val="6"/>
        </w:numPr>
        <w:tabs>
          <w:tab w:val="left" w:pos="634"/>
        </w:tabs>
        <w:spacing w:after="343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jest umową rozporządzającą.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672"/>
          <w:tab w:val="left" w:pos="3307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6" w:name="bookmark7"/>
      <w:r w:rsidRPr="002D33D7">
        <w:rPr>
          <w:rFonts w:ascii="Verdana" w:eastAsia="Bookman Old Style" w:hAnsi="Verdana" w:cs="Bookman Old Style"/>
          <w:bCs/>
        </w:rPr>
        <w:t>Gdzie powinno zostać</w:t>
      </w:r>
      <w:r w:rsidRPr="002D33D7">
        <w:rPr>
          <w:rFonts w:ascii="Verdana" w:eastAsia="Bookman Old Style" w:hAnsi="Verdana" w:cs="Bookman Old Style"/>
          <w:bCs/>
        </w:rPr>
        <w:tab/>
        <w:t>spełnione świadczenie pieniężne?</w:t>
      </w:r>
      <w:bookmarkEnd w:id="6"/>
    </w:p>
    <w:p w:rsidR="002D33D7" w:rsidRPr="002D33D7" w:rsidRDefault="002D33D7" w:rsidP="002D33D7">
      <w:pPr>
        <w:numPr>
          <w:ilvl w:val="0"/>
          <w:numId w:val="7"/>
        </w:numPr>
        <w:tabs>
          <w:tab w:val="left" w:pos="648"/>
          <w:tab w:val="left" w:pos="2222"/>
          <w:tab w:val="right" w:pos="3123"/>
          <w:tab w:val="left" w:pos="3326"/>
          <w:tab w:val="right" w:pos="7395"/>
          <w:tab w:val="left" w:pos="759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 miejscu, w</w:t>
      </w:r>
      <w:r w:rsidRPr="002D33D7">
        <w:rPr>
          <w:rFonts w:ascii="Verdana" w:eastAsia="Bookman Old Style" w:hAnsi="Verdana" w:cs="Bookman Old Style"/>
        </w:rPr>
        <w:tab/>
        <w:t>którym</w:t>
      </w:r>
      <w:r w:rsidRPr="002D33D7">
        <w:rPr>
          <w:rFonts w:ascii="Verdana" w:eastAsia="Bookman Old Style" w:hAnsi="Verdana" w:cs="Bookman Old Style"/>
        </w:rPr>
        <w:tab/>
        <w:t>w</w:t>
      </w:r>
      <w:r>
        <w:rPr>
          <w:rFonts w:ascii="Verdana" w:eastAsia="Bookman Old Style" w:hAnsi="Verdana" w:cs="Bookman Old Style"/>
        </w:rPr>
        <w:t xml:space="preserve"> </w:t>
      </w:r>
      <w:r w:rsidRPr="002D33D7">
        <w:rPr>
          <w:rFonts w:ascii="Verdana" w:eastAsia="Bookman Old Style" w:hAnsi="Verdana" w:cs="Bookman Old Style"/>
        </w:rPr>
        <w:t>chwili</w:t>
      </w:r>
      <w:r>
        <w:rPr>
          <w:rFonts w:ascii="Verdana" w:eastAsia="Bookman Old Style" w:hAnsi="Verdana" w:cs="Bookman Old Style"/>
        </w:rPr>
        <w:t xml:space="preserve"> </w:t>
      </w:r>
      <w:r w:rsidRPr="002D33D7">
        <w:rPr>
          <w:rFonts w:ascii="Verdana" w:eastAsia="Bookman Old Style" w:hAnsi="Verdana" w:cs="Bookman Old Style"/>
        </w:rPr>
        <w:tab/>
        <w:t>powstania zobowiązania siedzibę</w:t>
      </w:r>
      <w:r w:rsidRPr="002D33D7">
        <w:rPr>
          <w:rFonts w:ascii="Verdana" w:eastAsia="Bookman Old Style" w:hAnsi="Verdana" w:cs="Bookman Old Style"/>
        </w:rPr>
        <w:tab/>
        <w:t>miał dłużnik,</w:t>
      </w:r>
    </w:p>
    <w:p w:rsidR="002D33D7" w:rsidRPr="002D33D7" w:rsidRDefault="002D33D7" w:rsidP="002D33D7">
      <w:pPr>
        <w:numPr>
          <w:ilvl w:val="0"/>
          <w:numId w:val="7"/>
        </w:numPr>
        <w:tabs>
          <w:tab w:val="left" w:pos="658"/>
          <w:tab w:val="left" w:pos="2227"/>
          <w:tab w:val="right" w:pos="3123"/>
          <w:tab w:val="left" w:pos="3331"/>
          <w:tab w:val="right" w:pos="7395"/>
          <w:tab w:val="left" w:pos="7603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 miejscu, w</w:t>
      </w:r>
      <w:r w:rsidRPr="002D33D7">
        <w:rPr>
          <w:rFonts w:ascii="Verdana" w:eastAsia="Bookman Old Style" w:hAnsi="Verdana" w:cs="Bookman Old Style"/>
        </w:rPr>
        <w:tab/>
        <w:t>którym</w:t>
      </w:r>
      <w:r w:rsidRPr="002D33D7">
        <w:rPr>
          <w:rFonts w:ascii="Verdana" w:eastAsia="Bookman Old Style" w:hAnsi="Verdana" w:cs="Bookman Old Style"/>
        </w:rPr>
        <w:tab/>
        <w:t>w</w:t>
      </w:r>
      <w:r>
        <w:rPr>
          <w:rFonts w:ascii="Verdana" w:eastAsia="Bookman Old Style" w:hAnsi="Verdana" w:cs="Bookman Old Style"/>
        </w:rPr>
        <w:t xml:space="preserve"> </w:t>
      </w:r>
      <w:r w:rsidRPr="002D33D7">
        <w:rPr>
          <w:rFonts w:ascii="Verdana" w:eastAsia="Bookman Old Style" w:hAnsi="Verdana" w:cs="Bookman Old Style"/>
        </w:rPr>
        <w:t>chwili</w:t>
      </w:r>
      <w:r w:rsidRPr="002D33D7">
        <w:rPr>
          <w:rFonts w:ascii="Verdana" w:eastAsia="Bookman Old Style" w:hAnsi="Verdana" w:cs="Bookman Old Style"/>
        </w:rPr>
        <w:tab/>
      </w:r>
      <w:r>
        <w:rPr>
          <w:rFonts w:ascii="Verdana" w:eastAsia="Bookman Old Style" w:hAnsi="Verdana" w:cs="Bookman Old Style"/>
        </w:rPr>
        <w:t xml:space="preserve"> </w:t>
      </w:r>
      <w:r w:rsidRPr="002D33D7">
        <w:rPr>
          <w:rFonts w:ascii="Verdana" w:eastAsia="Bookman Old Style" w:hAnsi="Verdana" w:cs="Bookman Old Style"/>
        </w:rPr>
        <w:t>powstania zobowiązania siedzibę</w:t>
      </w:r>
      <w:r w:rsidRPr="002D33D7">
        <w:rPr>
          <w:rFonts w:ascii="Verdana" w:eastAsia="Bookman Old Style" w:hAnsi="Verdana" w:cs="Bookman Old Style"/>
        </w:rPr>
        <w:tab/>
        <w:t>miał wierzyciel,</w:t>
      </w:r>
    </w:p>
    <w:p w:rsidR="002D33D7" w:rsidRPr="002D33D7" w:rsidRDefault="002D33D7" w:rsidP="002D33D7">
      <w:pPr>
        <w:numPr>
          <w:ilvl w:val="0"/>
          <w:numId w:val="7"/>
        </w:numPr>
        <w:tabs>
          <w:tab w:val="left" w:pos="658"/>
          <w:tab w:val="left" w:pos="2222"/>
          <w:tab w:val="right" w:pos="3123"/>
          <w:tab w:val="left" w:pos="3326"/>
          <w:tab w:val="right" w:pos="7395"/>
          <w:tab w:val="left" w:pos="7598"/>
        </w:tabs>
        <w:spacing w:after="364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 miejscu, w</w:t>
      </w:r>
      <w:r w:rsidRPr="002D33D7">
        <w:rPr>
          <w:rFonts w:ascii="Verdana" w:eastAsia="Bookman Old Style" w:hAnsi="Verdana" w:cs="Bookman Old Style"/>
        </w:rPr>
        <w:tab/>
        <w:t>którym</w:t>
      </w:r>
      <w:r w:rsidRPr="002D33D7">
        <w:rPr>
          <w:rFonts w:ascii="Verdana" w:eastAsia="Bookman Old Style" w:hAnsi="Verdana" w:cs="Bookman Old Style"/>
        </w:rPr>
        <w:tab/>
        <w:t>w</w:t>
      </w:r>
      <w:r>
        <w:rPr>
          <w:rFonts w:ascii="Verdana" w:eastAsia="Bookman Old Style" w:hAnsi="Verdana" w:cs="Bookman Old Style"/>
        </w:rPr>
        <w:t xml:space="preserve"> </w:t>
      </w:r>
      <w:r w:rsidRPr="002D33D7">
        <w:rPr>
          <w:rFonts w:ascii="Verdana" w:eastAsia="Bookman Old Style" w:hAnsi="Verdana" w:cs="Bookman Old Style"/>
        </w:rPr>
        <w:t>chwili</w:t>
      </w:r>
      <w:r w:rsidRPr="002D33D7">
        <w:rPr>
          <w:rFonts w:ascii="Verdana" w:eastAsia="Bookman Old Style" w:hAnsi="Verdana" w:cs="Bookman Old Style"/>
        </w:rPr>
        <w:tab/>
      </w:r>
      <w:r>
        <w:rPr>
          <w:rFonts w:ascii="Verdana" w:eastAsia="Bookman Old Style" w:hAnsi="Verdana" w:cs="Bookman Old Style"/>
        </w:rPr>
        <w:t xml:space="preserve"> </w:t>
      </w:r>
      <w:r w:rsidRPr="002D33D7">
        <w:rPr>
          <w:rFonts w:ascii="Verdana" w:eastAsia="Bookman Old Style" w:hAnsi="Verdana" w:cs="Bookman Old Style"/>
        </w:rPr>
        <w:t>spełnienia zobowiązania siedzibę</w:t>
      </w:r>
      <w:r w:rsidRPr="002D33D7">
        <w:rPr>
          <w:rFonts w:ascii="Verdana" w:eastAsia="Bookman Old Style" w:hAnsi="Verdana" w:cs="Bookman Old Style"/>
        </w:rPr>
        <w:tab/>
        <w:t>miał wierzyciel.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672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7" w:name="bookmark8"/>
      <w:r w:rsidRPr="002D33D7">
        <w:rPr>
          <w:rFonts w:ascii="Verdana" w:eastAsia="Bookman Old Style" w:hAnsi="Verdana" w:cs="Bookman Old Style"/>
          <w:bCs/>
        </w:rPr>
        <w:t>Oświadczenie o potrąceniu:</w:t>
      </w:r>
      <w:bookmarkEnd w:id="7"/>
    </w:p>
    <w:p w:rsidR="002D33D7" w:rsidRPr="002D33D7" w:rsidRDefault="002D33D7" w:rsidP="002D33D7">
      <w:pPr>
        <w:numPr>
          <w:ilvl w:val="0"/>
          <w:numId w:val="8"/>
        </w:numPr>
        <w:tabs>
          <w:tab w:val="left" w:pos="648"/>
        </w:tabs>
        <w:spacing w:line="276" w:lineRule="auto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staje się skuteczne dopiero z chwilą, w której doszło do wierzyciela wzajemnego w taki sposób, że ten mógł zapoznać się z jego treścią,</w:t>
      </w:r>
    </w:p>
    <w:p w:rsidR="002D33D7" w:rsidRPr="002D33D7" w:rsidRDefault="002D33D7" w:rsidP="002D33D7">
      <w:pPr>
        <w:numPr>
          <w:ilvl w:val="0"/>
          <w:numId w:val="8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ma charakter deklaratoryjny,</w:t>
      </w:r>
    </w:p>
    <w:p w:rsidR="002D33D7" w:rsidRPr="002D33D7" w:rsidRDefault="002D33D7" w:rsidP="002D33D7">
      <w:pPr>
        <w:numPr>
          <w:ilvl w:val="0"/>
          <w:numId w:val="8"/>
        </w:numPr>
        <w:tabs>
          <w:tab w:val="left" w:pos="658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jest oświadczeniem wiedzy.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672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8" w:name="bookmark9"/>
      <w:r w:rsidRPr="002D33D7">
        <w:rPr>
          <w:rFonts w:ascii="Verdana" w:eastAsia="Bookman Old Style" w:hAnsi="Verdana" w:cs="Bookman Old Style"/>
          <w:bCs/>
        </w:rPr>
        <w:lastRenderedPageBreak/>
        <w:t>Testament zawierający rozrządzenia dwóch spadkodawców:</w:t>
      </w:r>
      <w:bookmarkEnd w:id="8"/>
    </w:p>
    <w:p w:rsidR="002D33D7" w:rsidRPr="002D33D7" w:rsidRDefault="002D33D7" w:rsidP="002D33D7">
      <w:pPr>
        <w:numPr>
          <w:ilvl w:val="0"/>
          <w:numId w:val="9"/>
        </w:numPr>
        <w:tabs>
          <w:tab w:val="left" w:pos="64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jest bezwzględnie nieważny,</w:t>
      </w:r>
    </w:p>
    <w:p w:rsidR="002D33D7" w:rsidRPr="002D33D7" w:rsidRDefault="002D33D7" w:rsidP="002D33D7">
      <w:pPr>
        <w:numPr>
          <w:ilvl w:val="0"/>
          <w:numId w:val="9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jest skuteczny w zakresie każdego rozrządzenia z osobna,</w:t>
      </w:r>
    </w:p>
    <w:p w:rsidR="002D33D7" w:rsidRPr="002D33D7" w:rsidRDefault="002D33D7" w:rsidP="002D33D7">
      <w:pPr>
        <w:numPr>
          <w:ilvl w:val="0"/>
          <w:numId w:val="9"/>
        </w:numPr>
        <w:tabs>
          <w:tab w:val="left" w:pos="658"/>
        </w:tabs>
        <w:spacing w:after="356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może być wykładany w sposób zależny od jego konkretnej treści.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672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9" w:name="bookmark10"/>
      <w:r w:rsidRPr="002D33D7">
        <w:rPr>
          <w:rFonts w:ascii="Verdana" w:eastAsia="Bookman Old Style" w:hAnsi="Verdana" w:cs="Bookman Old Style"/>
          <w:bCs/>
        </w:rPr>
        <w:t>Oświadczenie o przyjęciu bądź odrzuceniu spadku może być złożone:</w:t>
      </w:r>
      <w:bookmarkEnd w:id="9"/>
    </w:p>
    <w:p w:rsidR="002D33D7" w:rsidRPr="002D33D7" w:rsidRDefault="002D33D7" w:rsidP="002D33D7">
      <w:pPr>
        <w:numPr>
          <w:ilvl w:val="0"/>
          <w:numId w:val="10"/>
        </w:numPr>
        <w:tabs>
          <w:tab w:val="left" w:pos="64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 ciągu 6 miesięcy od otwarcia spadku,</w:t>
      </w:r>
    </w:p>
    <w:p w:rsidR="002D33D7" w:rsidRPr="002D33D7" w:rsidRDefault="002D33D7" w:rsidP="002D33D7">
      <w:pPr>
        <w:numPr>
          <w:ilvl w:val="0"/>
          <w:numId w:val="10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 ciągu 6 miesięcy od dowiedzenia się przez spadkobiercę o tytule swojego powołania,</w:t>
      </w:r>
    </w:p>
    <w:p w:rsidR="002D33D7" w:rsidRPr="002D33D7" w:rsidRDefault="002D33D7" w:rsidP="002D33D7">
      <w:pPr>
        <w:numPr>
          <w:ilvl w:val="0"/>
          <w:numId w:val="10"/>
        </w:numPr>
        <w:tabs>
          <w:tab w:val="left" w:pos="658"/>
        </w:tabs>
        <w:spacing w:after="364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 ciągu 6 miesięcy od śmierci spadkodawcy.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677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10" w:name="bookmark11"/>
      <w:r w:rsidRPr="002D33D7">
        <w:rPr>
          <w:rFonts w:ascii="Verdana" w:eastAsia="Bookman Old Style" w:hAnsi="Verdana" w:cs="Bookman Old Style"/>
          <w:bCs/>
        </w:rPr>
        <w:t>Spadkodawca może wydziedziczyć:</w:t>
      </w:r>
      <w:bookmarkEnd w:id="10"/>
    </w:p>
    <w:p w:rsidR="002D33D7" w:rsidRPr="002D33D7" w:rsidRDefault="002D33D7" w:rsidP="002D33D7">
      <w:pPr>
        <w:numPr>
          <w:ilvl w:val="0"/>
          <w:numId w:val="11"/>
        </w:numPr>
        <w:tabs>
          <w:tab w:val="left" w:pos="64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brata,</w:t>
      </w:r>
    </w:p>
    <w:p w:rsidR="002D33D7" w:rsidRPr="002D33D7" w:rsidRDefault="002D33D7" w:rsidP="002D33D7">
      <w:pPr>
        <w:numPr>
          <w:ilvl w:val="0"/>
          <w:numId w:val="11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siostrzenicę,</w:t>
      </w:r>
    </w:p>
    <w:p w:rsidR="002D33D7" w:rsidRPr="002D33D7" w:rsidRDefault="002D33D7" w:rsidP="002D33D7">
      <w:pPr>
        <w:numPr>
          <w:ilvl w:val="0"/>
          <w:numId w:val="11"/>
        </w:numPr>
        <w:tabs>
          <w:tab w:val="left" w:pos="658"/>
        </w:tabs>
        <w:spacing w:after="356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wnuczkę.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792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11" w:name="bookmark12"/>
      <w:r w:rsidRPr="002D33D7">
        <w:rPr>
          <w:rFonts w:ascii="Verdana" w:eastAsia="Bookman Old Style" w:hAnsi="Verdana" w:cs="Bookman Old Style"/>
          <w:bCs/>
        </w:rPr>
        <w:t>Stwierdzenie niedopuszczalności drogi sądowej w procesie skutkuje:</w:t>
      </w:r>
      <w:bookmarkEnd w:id="11"/>
    </w:p>
    <w:p w:rsidR="002D33D7" w:rsidRPr="002D33D7" w:rsidRDefault="002D33D7" w:rsidP="002D33D7">
      <w:pPr>
        <w:numPr>
          <w:ilvl w:val="0"/>
          <w:numId w:val="12"/>
        </w:numPr>
        <w:tabs>
          <w:tab w:val="left" w:pos="64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oddalenie powództwa w przypadku niedopuszczalności pierwotnej,</w:t>
      </w:r>
    </w:p>
    <w:p w:rsidR="002D33D7" w:rsidRPr="002D33D7" w:rsidRDefault="002D33D7" w:rsidP="002D33D7">
      <w:pPr>
        <w:numPr>
          <w:ilvl w:val="0"/>
          <w:numId w:val="12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oddalenie powództwa w przypadku niedopuszczalności następczej,</w:t>
      </w:r>
    </w:p>
    <w:p w:rsidR="002D33D7" w:rsidRPr="002D33D7" w:rsidRDefault="002D33D7" w:rsidP="002D33D7">
      <w:pPr>
        <w:numPr>
          <w:ilvl w:val="0"/>
          <w:numId w:val="12"/>
        </w:numPr>
        <w:tabs>
          <w:tab w:val="left" w:pos="658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umorzenie postępowania w przypadku niedopuszczalności następczej.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792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12" w:name="bookmark13"/>
      <w:r w:rsidRPr="002D33D7">
        <w:rPr>
          <w:rFonts w:ascii="Verdana" w:eastAsia="Bookman Old Style" w:hAnsi="Verdana" w:cs="Bookman Old Style"/>
          <w:bCs/>
        </w:rPr>
        <w:t>O wyłączeniu sędziego rozstrzyga:</w:t>
      </w:r>
      <w:bookmarkEnd w:id="12"/>
    </w:p>
    <w:p w:rsidR="002D33D7" w:rsidRPr="002D33D7" w:rsidRDefault="002D33D7" w:rsidP="002D33D7">
      <w:pPr>
        <w:numPr>
          <w:ilvl w:val="0"/>
          <w:numId w:val="13"/>
        </w:numPr>
        <w:tabs>
          <w:tab w:val="left" w:pos="648"/>
        </w:tabs>
        <w:spacing w:line="276" w:lineRule="auto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sąd, w którym sprawa się toczy, w składzie trzech sędziów zawodowych tylko tego wydziału,</w:t>
      </w:r>
    </w:p>
    <w:p w:rsidR="002D33D7" w:rsidRPr="002D33D7" w:rsidRDefault="002D33D7" w:rsidP="002D33D7">
      <w:pPr>
        <w:numPr>
          <w:ilvl w:val="0"/>
          <w:numId w:val="13"/>
        </w:numPr>
        <w:tabs>
          <w:tab w:val="left" w:pos="658"/>
        </w:tabs>
        <w:spacing w:line="276" w:lineRule="auto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sąd, w którym sprawa się toczy, w składzie trzech sędziów zawodowych wybranych spośród sędziów całego sądu,</w:t>
      </w:r>
    </w:p>
    <w:p w:rsidR="002D33D7" w:rsidRPr="002D33D7" w:rsidRDefault="002D33D7" w:rsidP="002D33D7">
      <w:pPr>
        <w:numPr>
          <w:ilvl w:val="0"/>
          <w:numId w:val="13"/>
        </w:numPr>
        <w:tabs>
          <w:tab w:val="left" w:pos="652"/>
        </w:tabs>
        <w:spacing w:after="347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zawsze sąd przełożony nad sądem, przed którym sprawa się toczy.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792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13" w:name="bookmark14"/>
      <w:r w:rsidRPr="002D33D7">
        <w:rPr>
          <w:rFonts w:ascii="Verdana" w:eastAsia="Bookman Old Style" w:hAnsi="Verdana" w:cs="Bookman Old Style"/>
          <w:bCs/>
        </w:rPr>
        <w:t>Terminy ustawowe nie biegną w przypadku zawieszenia postępowania:</w:t>
      </w:r>
      <w:bookmarkEnd w:id="13"/>
    </w:p>
    <w:p w:rsidR="002D33D7" w:rsidRPr="002D33D7" w:rsidRDefault="002D33D7" w:rsidP="002D33D7">
      <w:pPr>
        <w:numPr>
          <w:ilvl w:val="0"/>
          <w:numId w:val="14"/>
        </w:numPr>
        <w:tabs>
          <w:tab w:val="left" w:pos="652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wskutek niemożności nadania sprawie dalszego biegu,</w:t>
      </w:r>
    </w:p>
    <w:p w:rsidR="002D33D7" w:rsidRPr="002D33D7" w:rsidRDefault="002D33D7" w:rsidP="002D33D7">
      <w:pPr>
        <w:numPr>
          <w:ilvl w:val="0"/>
          <w:numId w:val="14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wskutek wystąpienia przez osobę trzecią z interwencją główną przeciwko obu stronom,</w:t>
      </w:r>
    </w:p>
    <w:p w:rsidR="002D33D7" w:rsidRDefault="002D33D7" w:rsidP="002D33D7">
      <w:pPr>
        <w:numPr>
          <w:ilvl w:val="0"/>
          <w:numId w:val="14"/>
        </w:numPr>
        <w:tabs>
          <w:tab w:val="left" w:pos="658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wskutek niestawiennictwa którejś ze stron.</w:t>
      </w:r>
    </w:p>
    <w:p w:rsidR="002D33D7" w:rsidRPr="002D33D7" w:rsidRDefault="002D33D7" w:rsidP="002D33D7">
      <w:pPr>
        <w:tabs>
          <w:tab w:val="left" w:pos="658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21"/>
        </w:tabs>
        <w:spacing w:line="276" w:lineRule="auto"/>
        <w:outlineLvl w:val="1"/>
        <w:rPr>
          <w:rFonts w:ascii="Verdana" w:eastAsia="Bookman Old Style" w:hAnsi="Verdana" w:cs="Bookman Old Style"/>
          <w:bCs/>
        </w:rPr>
      </w:pPr>
      <w:bookmarkStart w:id="14" w:name="bookmark15"/>
      <w:r w:rsidRPr="002D33D7">
        <w:rPr>
          <w:rFonts w:ascii="Verdana" w:eastAsia="Bookman Old Style" w:hAnsi="Verdana" w:cs="Bookman Old Style"/>
          <w:bCs/>
        </w:rPr>
        <w:t>Zarzuty od nakazu zapłaty, które zostały wniesione po upływie terminu ustawowego:</w:t>
      </w:r>
      <w:bookmarkEnd w:id="14"/>
    </w:p>
    <w:p w:rsidR="002D33D7" w:rsidRPr="002D33D7" w:rsidRDefault="002D33D7" w:rsidP="002D33D7">
      <w:pPr>
        <w:numPr>
          <w:ilvl w:val="0"/>
          <w:numId w:val="15"/>
        </w:numPr>
        <w:tabs>
          <w:tab w:val="left" w:pos="652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podlegają zwrotowi,</w:t>
      </w:r>
    </w:p>
    <w:p w:rsidR="002D33D7" w:rsidRPr="002D33D7" w:rsidRDefault="002D33D7" w:rsidP="002D33D7">
      <w:pPr>
        <w:numPr>
          <w:ilvl w:val="0"/>
          <w:numId w:val="15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podlegają oddaleniu,</w:t>
      </w:r>
    </w:p>
    <w:p w:rsidR="002D33D7" w:rsidRPr="002D33D7" w:rsidRDefault="002D33D7" w:rsidP="002D33D7">
      <w:pPr>
        <w:numPr>
          <w:ilvl w:val="0"/>
          <w:numId w:val="15"/>
        </w:numPr>
        <w:tabs>
          <w:tab w:val="left" w:pos="658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podlegają odrzuceniu.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792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15" w:name="bookmark16"/>
      <w:r w:rsidRPr="002D33D7">
        <w:rPr>
          <w:rFonts w:ascii="Verdana" w:eastAsia="Bookman Old Style" w:hAnsi="Verdana" w:cs="Bookman Old Style"/>
          <w:bCs/>
        </w:rPr>
        <w:lastRenderedPageBreak/>
        <w:t>Zażalenie przysługuje na postanowienie sądu I. instancji:</w:t>
      </w:r>
      <w:bookmarkEnd w:id="15"/>
    </w:p>
    <w:p w:rsidR="002D33D7" w:rsidRPr="002D33D7" w:rsidRDefault="002D33D7" w:rsidP="002D33D7">
      <w:pPr>
        <w:numPr>
          <w:ilvl w:val="0"/>
          <w:numId w:val="16"/>
        </w:numPr>
        <w:tabs>
          <w:tab w:val="left" w:pos="652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odmowie odrzucenia pozwu,</w:t>
      </w:r>
    </w:p>
    <w:p w:rsidR="002D33D7" w:rsidRPr="002D33D7" w:rsidRDefault="002D33D7" w:rsidP="002D33D7">
      <w:pPr>
        <w:numPr>
          <w:ilvl w:val="0"/>
          <w:numId w:val="16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odmowie zawieszenia postępowania,</w:t>
      </w:r>
    </w:p>
    <w:p w:rsidR="002D33D7" w:rsidRPr="002D33D7" w:rsidRDefault="002D33D7" w:rsidP="002D33D7">
      <w:pPr>
        <w:numPr>
          <w:ilvl w:val="0"/>
          <w:numId w:val="16"/>
        </w:numPr>
        <w:tabs>
          <w:tab w:val="left" w:pos="658"/>
        </w:tabs>
        <w:spacing w:after="356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odmowie przywrócenia terminu zawitego.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792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16" w:name="bookmark17"/>
      <w:r w:rsidRPr="002D33D7">
        <w:rPr>
          <w:rFonts w:ascii="Verdana" w:eastAsia="Bookman Old Style" w:hAnsi="Verdana" w:cs="Bookman Old Style"/>
          <w:bCs/>
        </w:rPr>
        <w:t>Odebranie przyrzeczenia od świadka:</w:t>
      </w:r>
      <w:bookmarkEnd w:id="16"/>
    </w:p>
    <w:p w:rsidR="002D33D7" w:rsidRPr="002D33D7" w:rsidRDefault="002D33D7" w:rsidP="002D33D7">
      <w:pPr>
        <w:numPr>
          <w:ilvl w:val="0"/>
          <w:numId w:val="17"/>
        </w:numPr>
        <w:tabs>
          <w:tab w:val="left" w:pos="652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 xml:space="preserve">musi nastąpić przed złożeniem przez niego zeznań (tzw. przyrzeczenie </w:t>
      </w:r>
      <w:proofErr w:type="spellStart"/>
      <w:r w:rsidRPr="002D33D7">
        <w:rPr>
          <w:rFonts w:ascii="Verdana" w:eastAsia="Bookman Old Style" w:hAnsi="Verdana" w:cs="Bookman Old Style"/>
        </w:rPr>
        <w:t>promisoryjne</w:t>
      </w:r>
      <w:proofErr w:type="spellEnd"/>
      <w:r w:rsidRPr="002D33D7">
        <w:rPr>
          <w:rFonts w:ascii="Verdana" w:eastAsia="Bookman Old Style" w:hAnsi="Verdana" w:cs="Bookman Old Style"/>
        </w:rPr>
        <w:t>),</w:t>
      </w:r>
    </w:p>
    <w:p w:rsidR="002D33D7" w:rsidRPr="002D33D7" w:rsidRDefault="002D33D7" w:rsidP="002D33D7">
      <w:pPr>
        <w:numPr>
          <w:ilvl w:val="0"/>
          <w:numId w:val="17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 xml:space="preserve">musi nastąpić po złożeniu przez niego zeznań (tzw. przyrzeczenie </w:t>
      </w:r>
      <w:proofErr w:type="spellStart"/>
      <w:r w:rsidRPr="002D33D7">
        <w:rPr>
          <w:rFonts w:ascii="Verdana" w:eastAsia="Bookman Old Style" w:hAnsi="Verdana" w:cs="Bookman Old Style"/>
        </w:rPr>
        <w:t>asertoryjne</w:t>
      </w:r>
      <w:proofErr w:type="spellEnd"/>
      <w:r w:rsidRPr="002D33D7">
        <w:rPr>
          <w:rFonts w:ascii="Verdana" w:eastAsia="Bookman Old Style" w:hAnsi="Verdana" w:cs="Bookman Old Style"/>
        </w:rPr>
        <w:t>),</w:t>
      </w:r>
    </w:p>
    <w:p w:rsidR="002D33D7" w:rsidRPr="002D33D7" w:rsidRDefault="002D33D7" w:rsidP="002D33D7">
      <w:pPr>
        <w:numPr>
          <w:ilvl w:val="0"/>
          <w:numId w:val="17"/>
        </w:numPr>
        <w:tabs>
          <w:tab w:val="left" w:pos="658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może nastąpić zarówno przed, jak i po złożeniu przez niego zeznań.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792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17" w:name="bookmark18"/>
      <w:r w:rsidRPr="002D33D7">
        <w:rPr>
          <w:rFonts w:ascii="Verdana" w:eastAsia="Bookman Old Style" w:hAnsi="Verdana" w:cs="Bookman Old Style"/>
          <w:bCs/>
        </w:rPr>
        <w:t>Uzupełnienie wyroku następuje:</w:t>
      </w:r>
      <w:bookmarkEnd w:id="17"/>
    </w:p>
    <w:p w:rsidR="002D33D7" w:rsidRPr="002D33D7" w:rsidRDefault="002D33D7" w:rsidP="002D33D7">
      <w:pPr>
        <w:numPr>
          <w:ilvl w:val="0"/>
          <w:numId w:val="18"/>
        </w:numPr>
        <w:tabs>
          <w:tab w:val="left" w:pos="652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tylko z urzędu,</w:t>
      </w:r>
    </w:p>
    <w:p w:rsidR="002D33D7" w:rsidRPr="002D33D7" w:rsidRDefault="002D33D7" w:rsidP="002D33D7">
      <w:pPr>
        <w:numPr>
          <w:ilvl w:val="0"/>
          <w:numId w:val="18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tylko na wniosek strony,</w:t>
      </w:r>
    </w:p>
    <w:p w:rsidR="002D33D7" w:rsidRPr="002D33D7" w:rsidRDefault="002D33D7" w:rsidP="002D33D7">
      <w:pPr>
        <w:numPr>
          <w:ilvl w:val="0"/>
          <w:numId w:val="18"/>
        </w:numPr>
        <w:tabs>
          <w:tab w:val="left" w:pos="658"/>
        </w:tabs>
        <w:spacing w:after="364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zarówno z urzędu, jak i na wniosek strony.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16"/>
        </w:tabs>
        <w:spacing w:line="276" w:lineRule="auto"/>
        <w:outlineLvl w:val="1"/>
        <w:rPr>
          <w:rFonts w:ascii="Verdana" w:eastAsia="Bookman Old Style" w:hAnsi="Verdana" w:cs="Bookman Old Style"/>
          <w:bCs/>
        </w:rPr>
      </w:pPr>
      <w:bookmarkStart w:id="18" w:name="bookmark19"/>
      <w:r w:rsidRPr="002D33D7">
        <w:rPr>
          <w:rFonts w:ascii="Verdana" w:eastAsia="Bookman Old Style" w:hAnsi="Verdana" w:cs="Bookman Old Style"/>
          <w:bCs/>
        </w:rPr>
        <w:t>Postanowienie o zabezpieczeniu roszczenia wydane na posiedzeniu niejawnym doręcza się z urzędu:</w:t>
      </w:r>
      <w:bookmarkEnd w:id="18"/>
    </w:p>
    <w:p w:rsidR="002D33D7" w:rsidRPr="002D33D7" w:rsidRDefault="002D33D7" w:rsidP="002D33D7">
      <w:pPr>
        <w:numPr>
          <w:ilvl w:val="0"/>
          <w:numId w:val="19"/>
        </w:numPr>
        <w:tabs>
          <w:tab w:val="left" w:pos="652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zawsze tylko obowiązanemu, ze wzmianką o wykonalności,</w:t>
      </w:r>
    </w:p>
    <w:p w:rsidR="002D33D7" w:rsidRPr="002D33D7" w:rsidRDefault="002D33D7" w:rsidP="002D33D7">
      <w:pPr>
        <w:numPr>
          <w:ilvl w:val="0"/>
          <w:numId w:val="19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zawsze tylko uprawnionemu,</w:t>
      </w:r>
    </w:p>
    <w:p w:rsidR="002D33D7" w:rsidRPr="002D33D7" w:rsidRDefault="002D33D7" w:rsidP="002D33D7">
      <w:pPr>
        <w:numPr>
          <w:ilvl w:val="0"/>
          <w:numId w:val="19"/>
        </w:numPr>
        <w:tabs>
          <w:tab w:val="left" w:pos="658"/>
        </w:tabs>
        <w:spacing w:after="360" w:line="276" w:lineRule="auto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co do zasady tylko uprawnionemu, jeśli podlega ono wykonaniu przez organ egzekucyjny.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792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19" w:name="bookmark20"/>
      <w:r w:rsidRPr="002D33D7">
        <w:rPr>
          <w:rFonts w:ascii="Verdana" w:eastAsia="Bookman Old Style" w:hAnsi="Verdana" w:cs="Bookman Old Style"/>
          <w:bCs/>
        </w:rPr>
        <w:t>Klauzulę wykonalności sąd nadaje:</w:t>
      </w:r>
      <w:bookmarkEnd w:id="19"/>
    </w:p>
    <w:p w:rsidR="002D33D7" w:rsidRPr="002D33D7" w:rsidRDefault="002D33D7" w:rsidP="002D33D7">
      <w:pPr>
        <w:numPr>
          <w:ilvl w:val="0"/>
          <w:numId w:val="20"/>
        </w:numPr>
        <w:tabs>
          <w:tab w:val="left" w:pos="652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zawsze w składzie jednego sędziego,</w:t>
      </w:r>
    </w:p>
    <w:p w:rsidR="002D33D7" w:rsidRPr="002D33D7" w:rsidRDefault="002D33D7" w:rsidP="002D33D7">
      <w:pPr>
        <w:numPr>
          <w:ilvl w:val="0"/>
          <w:numId w:val="20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 składzie trzech sędziów, jeżeli jest to sąd II. instancji,</w:t>
      </w:r>
    </w:p>
    <w:p w:rsidR="002D33D7" w:rsidRDefault="002D33D7" w:rsidP="002D33D7">
      <w:pPr>
        <w:numPr>
          <w:ilvl w:val="0"/>
          <w:numId w:val="20"/>
        </w:numPr>
        <w:tabs>
          <w:tab w:val="left" w:pos="656"/>
        </w:tabs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 tym samym składzie, jaki orzekał w sprawie.</w:t>
      </w:r>
      <w:bookmarkStart w:id="20" w:name="bookmark21"/>
    </w:p>
    <w:p w:rsidR="002D33D7" w:rsidRDefault="002D33D7" w:rsidP="002D33D7">
      <w:pPr>
        <w:tabs>
          <w:tab w:val="left" w:pos="656"/>
        </w:tabs>
        <w:jc w:val="both"/>
        <w:rPr>
          <w:rFonts w:ascii="Verdana" w:eastAsia="Bookman Old Style" w:hAnsi="Verdana" w:cs="Bookman Old Style"/>
        </w:rPr>
      </w:pPr>
    </w:p>
    <w:p w:rsidR="002D33D7" w:rsidRDefault="002D33D7" w:rsidP="002D33D7">
      <w:pPr>
        <w:tabs>
          <w:tab w:val="left" w:pos="656"/>
        </w:tabs>
        <w:jc w:val="both"/>
        <w:rPr>
          <w:rFonts w:ascii="Verdana" w:eastAsia="Bookman Old Style" w:hAnsi="Verdana" w:cs="Bookman Old Style"/>
          <w:bCs/>
        </w:rPr>
      </w:pPr>
      <w:r w:rsidRPr="002D33D7">
        <w:rPr>
          <w:rFonts w:ascii="Verdana" w:eastAsia="Bookman Old Style" w:hAnsi="Verdana" w:cs="Bookman Old Style"/>
          <w:bCs/>
        </w:rPr>
        <w:t xml:space="preserve">Część II </w:t>
      </w:r>
      <w:r w:rsidRPr="002D33D7">
        <w:rPr>
          <w:rFonts w:ascii="Verdana" w:eastAsia="Bookman Old Style" w:hAnsi="Verdana" w:cs="Bookman Old Style"/>
        </w:rPr>
        <w:t xml:space="preserve">- </w:t>
      </w:r>
      <w:r w:rsidRPr="002D33D7">
        <w:rPr>
          <w:rFonts w:ascii="Verdana" w:eastAsia="Bookman Old Style" w:hAnsi="Verdana" w:cs="Bookman Old Style"/>
          <w:bCs/>
        </w:rPr>
        <w:t>pytania z zakresu prawa karnego oraz postępowania karnego</w:t>
      </w:r>
      <w:bookmarkEnd w:id="20"/>
    </w:p>
    <w:p w:rsidR="002D33D7" w:rsidRPr="002D33D7" w:rsidRDefault="002D33D7" w:rsidP="002D33D7">
      <w:pPr>
        <w:tabs>
          <w:tab w:val="left" w:pos="656"/>
        </w:tabs>
        <w:jc w:val="both"/>
        <w:rPr>
          <w:rFonts w:ascii="Verdana" w:eastAsia="Bookman Old Style" w:hAnsi="Verdana" w:cs="Bookman Old Style"/>
        </w:rPr>
      </w:pP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45"/>
        </w:tabs>
        <w:outlineLvl w:val="1"/>
        <w:rPr>
          <w:rFonts w:ascii="Verdana" w:eastAsia="Bookman Old Style" w:hAnsi="Verdana" w:cs="Bookman Old Style"/>
          <w:bCs/>
        </w:rPr>
      </w:pPr>
      <w:bookmarkStart w:id="21" w:name="bookmark22"/>
      <w:r w:rsidRPr="002D33D7">
        <w:rPr>
          <w:rFonts w:ascii="Verdana" w:eastAsia="Bookman Old Style" w:hAnsi="Verdana" w:cs="Bookman Old Style"/>
          <w:bCs/>
        </w:rPr>
        <w:t>Zgodnie z kodeksem karnym, przygotowanie do popełnienia czynu zabronionego jest karalne:</w:t>
      </w:r>
      <w:bookmarkEnd w:id="21"/>
    </w:p>
    <w:p w:rsidR="002D33D7" w:rsidRPr="002D33D7" w:rsidRDefault="002D33D7" w:rsidP="002D33D7">
      <w:pPr>
        <w:numPr>
          <w:ilvl w:val="0"/>
          <w:numId w:val="21"/>
        </w:numPr>
        <w:tabs>
          <w:tab w:val="left" w:pos="656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tylko wtedy gdy ustawa tak stanowi,</w:t>
      </w:r>
    </w:p>
    <w:p w:rsidR="002D33D7" w:rsidRPr="002D33D7" w:rsidRDefault="002D33D7" w:rsidP="002D33D7">
      <w:pPr>
        <w:numPr>
          <w:ilvl w:val="0"/>
          <w:numId w:val="21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tylko w przypadku przestępstw umyślnych,</w:t>
      </w:r>
    </w:p>
    <w:p w:rsidR="002D33D7" w:rsidRPr="002D33D7" w:rsidRDefault="002D33D7" w:rsidP="002D33D7">
      <w:pPr>
        <w:numPr>
          <w:ilvl w:val="0"/>
          <w:numId w:val="21"/>
        </w:numPr>
        <w:tabs>
          <w:tab w:val="left" w:pos="658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tylko w przypadku zbrodni.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16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22" w:name="bookmark23"/>
      <w:r w:rsidRPr="002D33D7">
        <w:rPr>
          <w:rFonts w:ascii="Verdana" w:eastAsia="Bookman Old Style" w:hAnsi="Verdana" w:cs="Bookman Old Style"/>
          <w:bCs/>
        </w:rPr>
        <w:t>W świetle aktualnie obowiązującego stanu prawnego:</w:t>
      </w:r>
      <w:bookmarkEnd w:id="22"/>
    </w:p>
    <w:p w:rsidR="002D33D7" w:rsidRPr="002D33D7" w:rsidRDefault="002D33D7" w:rsidP="002D33D7">
      <w:pPr>
        <w:numPr>
          <w:ilvl w:val="0"/>
          <w:numId w:val="22"/>
        </w:numPr>
        <w:tabs>
          <w:tab w:val="left" w:pos="656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nie ma możliwości zawieszenia wykonania samoistnej kary grzywny,</w:t>
      </w:r>
    </w:p>
    <w:p w:rsidR="002D33D7" w:rsidRPr="002D33D7" w:rsidRDefault="002D33D7" w:rsidP="002D33D7">
      <w:pPr>
        <w:numPr>
          <w:ilvl w:val="0"/>
          <w:numId w:val="22"/>
        </w:numPr>
        <w:tabs>
          <w:tab w:val="left" w:pos="658"/>
        </w:tabs>
        <w:spacing w:line="276" w:lineRule="auto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zawieszenie wykonania samoistnej kary grzywny może nastąpić na okres próby, który wynosi od jednego roku do trzech lat,</w:t>
      </w:r>
    </w:p>
    <w:p w:rsidR="002D33D7" w:rsidRPr="002D33D7" w:rsidRDefault="002D33D7" w:rsidP="002D33D7">
      <w:pPr>
        <w:numPr>
          <w:ilvl w:val="0"/>
          <w:numId w:val="22"/>
        </w:numPr>
        <w:tabs>
          <w:tab w:val="left" w:pos="658"/>
        </w:tabs>
        <w:spacing w:after="360" w:line="276" w:lineRule="auto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zawieszenie wykonania samoistnej kary grzywny może nastąpić na okres próby, który wynosi maksymalnie jeden rok.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16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23" w:name="bookmark24"/>
      <w:r w:rsidRPr="002D33D7">
        <w:rPr>
          <w:rFonts w:ascii="Verdana" w:eastAsia="Bookman Old Style" w:hAnsi="Verdana" w:cs="Bookman Old Style"/>
          <w:bCs/>
        </w:rPr>
        <w:lastRenderedPageBreak/>
        <w:t>Zgodnie z kodeksem karnym w przypadku usiłowania popełnienia przestępstwa:</w:t>
      </w:r>
      <w:bookmarkEnd w:id="23"/>
    </w:p>
    <w:p w:rsidR="002D33D7" w:rsidRPr="002D33D7" w:rsidRDefault="002D33D7" w:rsidP="002D33D7">
      <w:pPr>
        <w:numPr>
          <w:ilvl w:val="0"/>
          <w:numId w:val="23"/>
        </w:numPr>
        <w:tabs>
          <w:tab w:val="left" w:pos="656"/>
        </w:tabs>
        <w:spacing w:line="276" w:lineRule="auto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sąd wymierza karę w granicach dwóch trzecich zagrożenia przewidzianego dla danego przestępstwa,</w:t>
      </w:r>
    </w:p>
    <w:p w:rsidR="002D33D7" w:rsidRPr="002D33D7" w:rsidRDefault="002D33D7" w:rsidP="002D33D7">
      <w:pPr>
        <w:numPr>
          <w:ilvl w:val="0"/>
          <w:numId w:val="23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sąd wymierza karę w granicach zagrożenia przewidzianego dla danego przestępstwa,</w:t>
      </w:r>
    </w:p>
    <w:p w:rsidR="002D33D7" w:rsidRPr="002D33D7" w:rsidRDefault="002D33D7" w:rsidP="002D33D7">
      <w:pPr>
        <w:numPr>
          <w:ilvl w:val="0"/>
          <w:numId w:val="23"/>
        </w:numPr>
        <w:tabs>
          <w:tab w:val="left" w:pos="658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sąd odstępuje od wymierzenia kary.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26"/>
        </w:tabs>
        <w:spacing w:line="276" w:lineRule="auto"/>
        <w:outlineLvl w:val="1"/>
        <w:rPr>
          <w:rFonts w:ascii="Verdana" w:eastAsia="Bookman Old Style" w:hAnsi="Verdana" w:cs="Bookman Old Style"/>
          <w:bCs/>
        </w:rPr>
      </w:pPr>
      <w:bookmarkStart w:id="24" w:name="bookmark25"/>
      <w:r w:rsidRPr="002D33D7">
        <w:rPr>
          <w:rFonts w:ascii="Verdana" w:eastAsia="Bookman Old Style" w:hAnsi="Verdana" w:cs="Bookman Old Style"/>
          <w:bCs/>
        </w:rPr>
        <w:t>Mieniem znacznej wartości według kodeksu karnego jest mienie, którego wartość w chwili popełnienia czynu zabronionego przekracza:</w:t>
      </w:r>
      <w:bookmarkEnd w:id="24"/>
    </w:p>
    <w:p w:rsidR="002D33D7" w:rsidRPr="002D33D7" w:rsidRDefault="002D33D7" w:rsidP="002D33D7">
      <w:pPr>
        <w:numPr>
          <w:ilvl w:val="0"/>
          <w:numId w:val="24"/>
        </w:numPr>
        <w:tabs>
          <w:tab w:val="left" w:pos="656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kwotę 200.000 złotych,</w:t>
      </w:r>
    </w:p>
    <w:p w:rsidR="002D33D7" w:rsidRPr="002D33D7" w:rsidRDefault="002D33D7" w:rsidP="002D33D7">
      <w:pPr>
        <w:numPr>
          <w:ilvl w:val="0"/>
          <w:numId w:val="24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100 - krotność najniższego miesięcznego wynagrodzenia,</w:t>
      </w:r>
    </w:p>
    <w:p w:rsidR="002D33D7" w:rsidRPr="002D33D7" w:rsidRDefault="002D33D7" w:rsidP="002D33D7">
      <w:pPr>
        <w:numPr>
          <w:ilvl w:val="0"/>
          <w:numId w:val="24"/>
        </w:numPr>
        <w:tabs>
          <w:tab w:val="left" w:pos="658"/>
        </w:tabs>
        <w:spacing w:after="356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200 - krotność najniższego miesięcznego wynagrodzenia.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16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25" w:name="bookmark26"/>
      <w:r w:rsidRPr="002D33D7">
        <w:rPr>
          <w:rFonts w:ascii="Verdana" w:eastAsia="Bookman Old Style" w:hAnsi="Verdana" w:cs="Bookman Old Style"/>
          <w:bCs/>
        </w:rPr>
        <w:t>Czyn zabroniony, którego społeczna szkodliwość jest znikoma:</w:t>
      </w:r>
      <w:bookmarkEnd w:id="25"/>
    </w:p>
    <w:p w:rsidR="002D33D7" w:rsidRPr="002D33D7" w:rsidRDefault="002D33D7" w:rsidP="002D33D7">
      <w:pPr>
        <w:numPr>
          <w:ilvl w:val="0"/>
          <w:numId w:val="25"/>
        </w:numPr>
        <w:tabs>
          <w:tab w:val="left" w:pos="656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stanowi przestępstwo, ale sąd odstępuje od wymierzenia kary sprawcy tego czynu,</w:t>
      </w:r>
    </w:p>
    <w:p w:rsidR="002D33D7" w:rsidRPr="002D33D7" w:rsidRDefault="002D33D7" w:rsidP="002D33D7">
      <w:pPr>
        <w:numPr>
          <w:ilvl w:val="0"/>
          <w:numId w:val="25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nie stanowi przestępstwa,</w:t>
      </w:r>
    </w:p>
    <w:p w:rsidR="002D33D7" w:rsidRPr="002D33D7" w:rsidRDefault="002D33D7" w:rsidP="002D33D7">
      <w:pPr>
        <w:numPr>
          <w:ilvl w:val="0"/>
          <w:numId w:val="25"/>
        </w:numPr>
        <w:tabs>
          <w:tab w:val="left" w:pos="658"/>
        </w:tabs>
        <w:spacing w:line="276" w:lineRule="auto"/>
        <w:ind w:right="1740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stanowi przestępstwo, ale sąd może warunkowo umorzyć wobec sprawcy postępowanie karne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16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26" w:name="bookmark27"/>
      <w:r w:rsidRPr="002D33D7">
        <w:rPr>
          <w:rFonts w:ascii="Verdana" w:eastAsia="Bookman Old Style" w:hAnsi="Verdana" w:cs="Bookman Old Style"/>
          <w:bCs/>
        </w:rPr>
        <w:t>Okres, na który orzeczono zakaz prowadzenia pojazdów:</w:t>
      </w:r>
      <w:bookmarkEnd w:id="26"/>
    </w:p>
    <w:p w:rsidR="002D33D7" w:rsidRPr="002D33D7" w:rsidRDefault="002D33D7" w:rsidP="002D33D7">
      <w:pPr>
        <w:numPr>
          <w:ilvl w:val="0"/>
          <w:numId w:val="26"/>
        </w:numPr>
        <w:tabs>
          <w:tab w:val="left" w:pos="660"/>
        </w:tabs>
        <w:spacing w:line="276" w:lineRule="auto"/>
        <w:ind w:right="280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nie biegnie w czasie odbywania przez skazanego kary pozbawienia wolności, orzeczonej bez warunkowego zawieszenia jej wykonania</w:t>
      </w:r>
    </w:p>
    <w:p w:rsidR="002D33D7" w:rsidRPr="002D33D7" w:rsidRDefault="002D33D7" w:rsidP="002D33D7">
      <w:pPr>
        <w:numPr>
          <w:ilvl w:val="0"/>
          <w:numId w:val="26"/>
        </w:numPr>
        <w:tabs>
          <w:tab w:val="left" w:pos="660"/>
        </w:tabs>
        <w:spacing w:line="276" w:lineRule="auto"/>
        <w:ind w:right="280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nie biegnie w okresie próby orzeczonej w związku z wymierzeniem skazanemu kary pozbawienia wolności, orzeczonej z warunkowym zawieszeniem jej wykonania;</w:t>
      </w:r>
    </w:p>
    <w:p w:rsidR="002D33D7" w:rsidRPr="002D33D7" w:rsidRDefault="002D33D7" w:rsidP="002D33D7">
      <w:pPr>
        <w:numPr>
          <w:ilvl w:val="0"/>
          <w:numId w:val="26"/>
        </w:numPr>
        <w:tabs>
          <w:tab w:val="left" w:pos="660"/>
        </w:tabs>
        <w:spacing w:after="356" w:line="276" w:lineRule="auto"/>
        <w:ind w:right="280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biegnie od daty uprawomocnienia się wyroku, niezależnie od rodzaju wymierzonej skazanemu kary;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16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27" w:name="bookmark28"/>
      <w:r w:rsidRPr="002D33D7">
        <w:rPr>
          <w:rFonts w:ascii="Verdana" w:eastAsia="Bookman Old Style" w:hAnsi="Verdana" w:cs="Bookman Old Style"/>
          <w:bCs/>
        </w:rPr>
        <w:t>Do strony podmiotowej przestępstwa należy:</w:t>
      </w:r>
      <w:bookmarkEnd w:id="27"/>
    </w:p>
    <w:p w:rsidR="002D33D7" w:rsidRPr="002D33D7" w:rsidRDefault="002D33D7" w:rsidP="002D33D7">
      <w:pPr>
        <w:numPr>
          <w:ilvl w:val="0"/>
          <w:numId w:val="27"/>
        </w:numPr>
        <w:tabs>
          <w:tab w:val="left" w:pos="660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recydywa</w:t>
      </w:r>
    </w:p>
    <w:p w:rsidR="002D33D7" w:rsidRPr="002D33D7" w:rsidRDefault="002D33D7" w:rsidP="002D33D7">
      <w:pPr>
        <w:numPr>
          <w:ilvl w:val="0"/>
          <w:numId w:val="27"/>
        </w:numPr>
        <w:tabs>
          <w:tab w:val="left" w:pos="660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umyślność i nieumyślność</w:t>
      </w:r>
    </w:p>
    <w:p w:rsidR="002D33D7" w:rsidRDefault="002D33D7" w:rsidP="002D33D7">
      <w:pPr>
        <w:numPr>
          <w:ilvl w:val="0"/>
          <w:numId w:val="27"/>
        </w:numPr>
        <w:tabs>
          <w:tab w:val="left" w:pos="660"/>
        </w:tabs>
        <w:spacing w:after="364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czas czynu i miejsce popełnienia przestępstwa</w:t>
      </w:r>
    </w:p>
    <w:p w:rsidR="002D33D7" w:rsidRPr="002D33D7" w:rsidRDefault="002D33D7" w:rsidP="002D33D7">
      <w:pPr>
        <w:tabs>
          <w:tab w:val="left" w:pos="660"/>
        </w:tabs>
        <w:spacing w:after="364" w:line="276" w:lineRule="auto"/>
        <w:jc w:val="both"/>
        <w:rPr>
          <w:rFonts w:ascii="Verdana" w:eastAsia="Bookman Old Style" w:hAnsi="Verdana" w:cs="Bookman Old Style"/>
        </w:rPr>
      </w:pP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21"/>
        </w:tabs>
        <w:spacing w:line="276" w:lineRule="auto"/>
        <w:outlineLvl w:val="1"/>
        <w:rPr>
          <w:rFonts w:ascii="Verdana" w:eastAsia="Bookman Old Style" w:hAnsi="Verdana" w:cs="Bookman Old Style"/>
          <w:bCs/>
        </w:rPr>
      </w:pPr>
      <w:bookmarkStart w:id="28" w:name="bookmark29"/>
      <w:r w:rsidRPr="002D33D7">
        <w:rPr>
          <w:rFonts w:ascii="Verdana" w:eastAsia="Bookman Old Style" w:hAnsi="Verdana" w:cs="Bookman Old Style"/>
          <w:bCs/>
        </w:rPr>
        <w:t xml:space="preserve">Dwa lub więcej </w:t>
      </w:r>
      <w:proofErr w:type="spellStart"/>
      <w:r w:rsidRPr="002D33D7">
        <w:rPr>
          <w:rFonts w:ascii="Verdana" w:eastAsia="Bookman Old Style" w:hAnsi="Verdana" w:cs="Bookman Old Style"/>
          <w:bCs/>
        </w:rPr>
        <w:t>zachowań</w:t>
      </w:r>
      <w:proofErr w:type="spellEnd"/>
      <w:r w:rsidRPr="002D33D7">
        <w:rPr>
          <w:rFonts w:ascii="Verdana" w:eastAsia="Bookman Old Style" w:hAnsi="Verdana" w:cs="Bookman Old Style"/>
          <w:bCs/>
        </w:rPr>
        <w:t>, podjętych w krótkich odstępach czasu w wykonaniu z góry powziętego zamiaru stanowią:</w:t>
      </w:r>
      <w:bookmarkEnd w:id="28"/>
    </w:p>
    <w:p w:rsidR="002D33D7" w:rsidRPr="002D33D7" w:rsidRDefault="002D33D7" w:rsidP="002D33D7">
      <w:pPr>
        <w:numPr>
          <w:ilvl w:val="0"/>
          <w:numId w:val="28"/>
        </w:numPr>
        <w:tabs>
          <w:tab w:val="left" w:pos="660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ciąg przestępstw</w:t>
      </w:r>
    </w:p>
    <w:p w:rsidR="002D33D7" w:rsidRPr="002D33D7" w:rsidRDefault="002D33D7" w:rsidP="002D33D7">
      <w:pPr>
        <w:numPr>
          <w:ilvl w:val="0"/>
          <w:numId w:val="28"/>
        </w:numPr>
        <w:tabs>
          <w:tab w:val="left" w:pos="660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zbieg przepisów</w:t>
      </w:r>
    </w:p>
    <w:p w:rsidR="002D33D7" w:rsidRPr="002D33D7" w:rsidRDefault="002D33D7" w:rsidP="002D33D7">
      <w:pPr>
        <w:numPr>
          <w:ilvl w:val="0"/>
          <w:numId w:val="28"/>
        </w:numPr>
        <w:tabs>
          <w:tab w:val="left" w:pos="660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czyn ciągły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45"/>
        </w:tabs>
        <w:spacing w:line="276" w:lineRule="auto"/>
        <w:outlineLvl w:val="1"/>
        <w:rPr>
          <w:rFonts w:ascii="Verdana" w:eastAsia="Bookman Old Style" w:hAnsi="Verdana" w:cs="Bookman Old Style"/>
          <w:bCs/>
        </w:rPr>
      </w:pPr>
      <w:bookmarkStart w:id="29" w:name="bookmark30"/>
      <w:r w:rsidRPr="002D33D7">
        <w:rPr>
          <w:rFonts w:ascii="Verdana" w:eastAsia="Bookman Old Style" w:hAnsi="Verdana" w:cs="Bookman Old Style"/>
          <w:bCs/>
        </w:rPr>
        <w:lastRenderedPageBreak/>
        <w:t>Umieszczenie sprawcy w zakładzie psychiatrycznym, w świetle kodeksu karnego jest:</w:t>
      </w:r>
      <w:bookmarkEnd w:id="29"/>
    </w:p>
    <w:p w:rsidR="002D33D7" w:rsidRPr="002D33D7" w:rsidRDefault="002D33D7" w:rsidP="002D33D7">
      <w:pPr>
        <w:numPr>
          <w:ilvl w:val="0"/>
          <w:numId w:val="29"/>
        </w:numPr>
        <w:tabs>
          <w:tab w:val="left" w:pos="660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środkiem karnym</w:t>
      </w:r>
    </w:p>
    <w:p w:rsidR="002D33D7" w:rsidRPr="002D33D7" w:rsidRDefault="002D33D7" w:rsidP="002D33D7">
      <w:pPr>
        <w:numPr>
          <w:ilvl w:val="0"/>
          <w:numId w:val="29"/>
        </w:numPr>
        <w:tabs>
          <w:tab w:val="left" w:pos="660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środkiem zabezpieczającym</w:t>
      </w:r>
    </w:p>
    <w:p w:rsidR="002D33D7" w:rsidRPr="002D33D7" w:rsidRDefault="002D33D7" w:rsidP="002D33D7">
      <w:pPr>
        <w:numPr>
          <w:ilvl w:val="0"/>
          <w:numId w:val="29"/>
        </w:numPr>
        <w:tabs>
          <w:tab w:val="left" w:pos="660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środkiem zapobiegawczym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16"/>
        </w:tabs>
        <w:spacing w:line="276" w:lineRule="auto"/>
        <w:outlineLvl w:val="1"/>
        <w:rPr>
          <w:rFonts w:ascii="Verdana" w:eastAsia="Bookman Old Style" w:hAnsi="Verdana" w:cs="Bookman Old Style"/>
          <w:bCs/>
        </w:rPr>
      </w:pPr>
      <w:bookmarkStart w:id="30" w:name="bookmark31"/>
      <w:r w:rsidRPr="002D33D7">
        <w:rPr>
          <w:rFonts w:ascii="Verdana" w:eastAsia="Bookman Old Style" w:hAnsi="Verdana" w:cs="Bookman Old Style"/>
          <w:bCs/>
        </w:rPr>
        <w:t>Zgodnie z kodeksem postępowania karnego w przypadku tymczasowego aresztowania podejrzanego o utrzymaniu, zmianie lub uchyleniu tego środka orzeka:</w:t>
      </w:r>
      <w:bookmarkEnd w:id="30"/>
    </w:p>
    <w:p w:rsidR="002D33D7" w:rsidRPr="002D33D7" w:rsidRDefault="002D33D7" w:rsidP="002D33D7">
      <w:pPr>
        <w:numPr>
          <w:ilvl w:val="0"/>
          <w:numId w:val="30"/>
        </w:numPr>
        <w:tabs>
          <w:tab w:val="left" w:pos="660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sąd</w:t>
      </w:r>
    </w:p>
    <w:p w:rsidR="002D33D7" w:rsidRPr="002D33D7" w:rsidRDefault="002D33D7" w:rsidP="002D33D7">
      <w:pPr>
        <w:numPr>
          <w:ilvl w:val="0"/>
          <w:numId w:val="30"/>
        </w:numPr>
        <w:tabs>
          <w:tab w:val="left" w:pos="660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prokurator</w:t>
      </w:r>
    </w:p>
    <w:p w:rsidR="002D33D7" w:rsidRPr="002D33D7" w:rsidRDefault="002D33D7" w:rsidP="002D33D7">
      <w:pPr>
        <w:numPr>
          <w:ilvl w:val="0"/>
          <w:numId w:val="30"/>
        </w:numPr>
        <w:tabs>
          <w:tab w:val="left" w:pos="660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sąd lub prokurator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16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31" w:name="bookmark32"/>
      <w:r w:rsidRPr="002D33D7">
        <w:rPr>
          <w:rFonts w:ascii="Verdana" w:eastAsia="Bookman Old Style" w:hAnsi="Verdana" w:cs="Bookman Old Style"/>
          <w:bCs/>
        </w:rPr>
        <w:t>W postępowaniu karnym pełnomocnikiem strony innej niż oskarżony może być:</w:t>
      </w:r>
      <w:bookmarkEnd w:id="31"/>
    </w:p>
    <w:p w:rsidR="002D33D7" w:rsidRPr="002D33D7" w:rsidRDefault="002D33D7" w:rsidP="002D33D7">
      <w:pPr>
        <w:numPr>
          <w:ilvl w:val="0"/>
          <w:numId w:val="31"/>
        </w:numPr>
        <w:tabs>
          <w:tab w:val="left" w:pos="660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wyłącznie adwokat</w:t>
      </w:r>
    </w:p>
    <w:p w:rsidR="002D33D7" w:rsidRPr="002D33D7" w:rsidRDefault="002D33D7" w:rsidP="002D33D7">
      <w:pPr>
        <w:numPr>
          <w:ilvl w:val="0"/>
          <w:numId w:val="31"/>
        </w:numPr>
        <w:tabs>
          <w:tab w:val="left" w:pos="660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adwokat lub radca prawny</w:t>
      </w:r>
    </w:p>
    <w:p w:rsidR="002D33D7" w:rsidRPr="002D33D7" w:rsidRDefault="002D33D7" w:rsidP="002D33D7">
      <w:pPr>
        <w:numPr>
          <w:ilvl w:val="0"/>
          <w:numId w:val="31"/>
        </w:numPr>
        <w:tabs>
          <w:tab w:val="left" w:pos="660"/>
        </w:tabs>
        <w:spacing w:line="276" w:lineRule="auto"/>
        <w:ind w:right="280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rodzice, małżonek, rodzeństwo, zstępni strony, osoby pozostające ze stroną w stosunku przysposobienia lub osoba pozostająca ze stroną w stałym stosunku zlecenia, jeżeli przedmiot sprawy wchodzi w zakres tego zlecenia.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21"/>
        </w:tabs>
        <w:spacing w:line="276" w:lineRule="auto"/>
        <w:outlineLvl w:val="1"/>
        <w:rPr>
          <w:rFonts w:ascii="Verdana" w:eastAsia="Bookman Old Style" w:hAnsi="Verdana" w:cs="Bookman Old Style"/>
          <w:bCs/>
        </w:rPr>
      </w:pPr>
      <w:bookmarkStart w:id="32" w:name="bookmark33"/>
      <w:r w:rsidRPr="002D33D7">
        <w:rPr>
          <w:rFonts w:ascii="Verdana" w:eastAsia="Bookman Old Style" w:hAnsi="Verdana" w:cs="Bookman Old Style"/>
          <w:bCs/>
        </w:rPr>
        <w:t>W postępowaniu karnym osoba uprawniona do odmowy złożenia zeznań może oświadczyć, że chce z tego prawa skorzystać:</w:t>
      </w:r>
      <w:bookmarkEnd w:id="32"/>
    </w:p>
    <w:p w:rsidR="002D33D7" w:rsidRPr="002D33D7" w:rsidRDefault="002D33D7" w:rsidP="002D33D7">
      <w:pPr>
        <w:numPr>
          <w:ilvl w:val="0"/>
          <w:numId w:val="32"/>
        </w:numPr>
        <w:tabs>
          <w:tab w:val="left" w:pos="659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do czasu zamknięcia przewodu sądowego na rozprawie głównej,</w:t>
      </w:r>
    </w:p>
    <w:p w:rsidR="002D33D7" w:rsidRPr="002D33D7" w:rsidRDefault="002D33D7" w:rsidP="002D33D7">
      <w:pPr>
        <w:numPr>
          <w:ilvl w:val="0"/>
          <w:numId w:val="32"/>
        </w:numPr>
        <w:tabs>
          <w:tab w:val="left" w:pos="659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nie później niż przed rozpoczęciem pierwszego zeznania w postępowaniu sądowym,</w:t>
      </w:r>
    </w:p>
    <w:p w:rsidR="002D33D7" w:rsidRPr="002D33D7" w:rsidRDefault="002D33D7" w:rsidP="002D33D7">
      <w:pPr>
        <w:numPr>
          <w:ilvl w:val="0"/>
          <w:numId w:val="32"/>
        </w:numPr>
        <w:tabs>
          <w:tab w:val="left" w:pos="659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do czasu rozpoczęcia przewodu sądowego na rozprawie głównej.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16"/>
        </w:tabs>
        <w:spacing w:line="276" w:lineRule="auto"/>
        <w:outlineLvl w:val="1"/>
        <w:rPr>
          <w:rFonts w:ascii="Verdana" w:eastAsia="Bookman Old Style" w:hAnsi="Verdana" w:cs="Bookman Old Style"/>
          <w:bCs/>
        </w:rPr>
      </w:pPr>
      <w:bookmarkStart w:id="33" w:name="bookmark34"/>
      <w:r w:rsidRPr="002D33D7">
        <w:rPr>
          <w:rFonts w:ascii="Verdana" w:eastAsia="Bookman Old Style" w:hAnsi="Verdana" w:cs="Bookman Old Style"/>
          <w:bCs/>
        </w:rPr>
        <w:t>W postępowaniu karnym w sprawach o przestępstwa ścigane z oskarżenia publicznego:</w:t>
      </w:r>
      <w:bookmarkEnd w:id="33"/>
    </w:p>
    <w:p w:rsidR="002D33D7" w:rsidRPr="002D33D7" w:rsidRDefault="002D33D7" w:rsidP="002D33D7">
      <w:pPr>
        <w:numPr>
          <w:ilvl w:val="0"/>
          <w:numId w:val="33"/>
        </w:numPr>
        <w:tabs>
          <w:tab w:val="left" w:pos="659"/>
        </w:tabs>
        <w:spacing w:line="276" w:lineRule="auto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prokurator ma obowiązek uczestniczenia w rozprawie przed sądem w sprawach w których postępowanie przygotowawcze zakończyło się w formie śledztwa,</w:t>
      </w:r>
    </w:p>
    <w:p w:rsidR="002D33D7" w:rsidRPr="002D33D7" w:rsidRDefault="002D33D7" w:rsidP="002D33D7">
      <w:pPr>
        <w:numPr>
          <w:ilvl w:val="0"/>
          <w:numId w:val="33"/>
        </w:numPr>
        <w:tabs>
          <w:tab w:val="left" w:pos="659"/>
        </w:tabs>
        <w:spacing w:line="276" w:lineRule="auto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prokurator ma obowiązek uczestniczenia w rozprawie przed sądem w sprawach w których postępowanie przygotowawcze zakończyło się w formie dochodzenia,</w:t>
      </w:r>
    </w:p>
    <w:p w:rsidR="002D33D7" w:rsidRPr="002D33D7" w:rsidRDefault="002D33D7" w:rsidP="002D33D7">
      <w:pPr>
        <w:numPr>
          <w:ilvl w:val="0"/>
          <w:numId w:val="33"/>
        </w:numPr>
        <w:tabs>
          <w:tab w:val="left" w:pos="659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prokurator nie ma obowiązku uczestniczenia w rozprawie przed sądem.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16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34" w:name="bookmark35"/>
      <w:r w:rsidRPr="002D33D7">
        <w:rPr>
          <w:rFonts w:ascii="Verdana" w:eastAsia="Bookman Old Style" w:hAnsi="Verdana" w:cs="Bookman Old Style"/>
          <w:bCs/>
        </w:rPr>
        <w:t>W aktualnie obowiązującym stanie prawnym w postępowaniu karnym:</w:t>
      </w:r>
      <w:bookmarkEnd w:id="34"/>
    </w:p>
    <w:p w:rsidR="002D33D7" w:rsidRPr="002D33D7" w:rsidRDefault="002D33D7" w:rsidP="002D33D7">
      <w:pPr>
        <w:numPr>
          <w:ilvl w:val="0"/>
          <w:numId w:val="34"/>
        </w:numPr>
        <w:tabs>
          <w:tab w:val="left" w:pos="659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oskarżony ma prawo brać udział w rozprawie,</w:t>
      </w:r>
    </w:p>
    <w:p w:rsidR="002D33D7" w:rsidRPr="002D33D7" w:rsidRDefault="002D33D7" w:rsidP="002D33D7">
      <w:pPr>
        <w:numPr>
          <w:ilvl w:val="0"/>
          <w:numId w:val="34"/>
        </w:numPr>
        <w:tabs>
          <w:tab w:val="left" w:pos="659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oskarżony ma obowiązek brać udział w rozprawie,</w:t>
      </w:r>
    </w:p>
    <w:p w:rsidR="002D33D7" w:rsidRPr="002D33D7" w:rsidRDefault="002D33D7" w:rsidP="002D33D7">
      <w:pPr>
        <w:numPr>
          <w:ilvl w:val="0"/>
          <w:numId w:val="34"/>
        </w:numPr>
        <w:tabs>
          <w:tab w:val="left" w:pos="659"/>
        </w:tabs>
        <w:spacing w:after="356" w:line="276" w:lineRule="auto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oskarżony ma prawo brać udział w rozprawie ale przewodniczący lub sąd mogą uznać jego obecność za obowiązkową.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21"/>
        </w:tabs>
        <w:spacing w:line="276" w:lineRule="auto"/>
        <w:outlineLvl w:val="1"/>
        <w:rPr>
          <w:rFonts w:ascii="Verdana" w:eastAsia="Bookman Old Style" w:hAnsi="Verdana" w:cs="Bookman Old Style"/>
          <w:bCs/>
        </w:rPr>
      </w:pPr>
      <w:bookmarkStart w:id="35" w:name="bookmark36"/>
      <w:r w:rsidRPr="002D33D7">
        <w:rPr>
          <w:rFonts w:ascii="Verdana" w:eastAsia="Bookman Old Style" w:hAnsi="Verdana" w:cs="Bookman Old Style"/>
          <w:bCs/>
        </w:rPr>
        <w:lastRenderedPageBreak/>
        <w:t>W postępowaniu karnym w razie stwierdzenia po rozpoczęciu przewodu sądowego, że sprawca w chwili czynu był niepoczytalny sąd:</w:t>
      </w:r>
      <w:bookmarkEnd w:id="35"/>
    </w:p>
    <w:p w:rsidR="002D33D7" w:rsidRPr="002D33D7" w:rsidRDefault="002D33D7" w:rsidP="002D33D7">
      <w:pPr>
        <w:numPr>
          <w:ilvl w:val="0"/>
          <w:numId w:val="35"/>
        </w:numPr>
        <w:tabs>
          <w:tab w:val="left" w:pos="659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skazuje oskarżonego ale stosuje wobec niego nadzwyczajne złagodzenie kary,</w:t>
      </w:r>
    </w:p>
    <w:p w:rsidR="002D33D7" w:rsidRPr="002D33D7" w:rsidRDefault="002D33D7" w:rsidP="002D33D7">
      <w:pPr>
        <w:numPr>
          <w:ilvl w:val="0"/>
          <w:numId w:val="35"/>
        </w:numPr>
        <w:tabs>
          <w:tab w:val="left" w:pos="659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uniewinnia oskarżonego,</w:t>
      </w:r>
    </w:p>
    <w:p w:rsidR="002D33D7" w:rsidRPr="002D33D7" w:rsidRDefault="002D33D7" w:rsidP="002D33D7">
      <w:pPr>
        <w:numPr>
          <w:ilvl w:val="0"/>
          <w:numId w:val="35"/>
        </w:numPr>
        <w:tabs>
          <w:tab w:val="left" w:pos="659"/>
        </w:tabs>
        <w:spacing w:after="364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umarza postępowanie w sprawie.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16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36" w:name="bookmark37"/>
      <w:r w:rsidRPr="002D33D7">
        <w:rPr>
          <w:rFonts w:ascii="Verdana" w:eastAsia="Bookman Old Style" w:hAnsi="Verdana" w:cs="Bookman Old Style"/>
          <w:bCs/>
        </w:rPr>
        <w:t>Wyrok nakazowy można zaskarżyć poprzez wniesienie:</w:t>
      </w:r>
      <w:bookmarkEnd w:id="36"/>
    </w:p>
    <w:p w:rsidR="002D33D7" w:rsidRPr="002D33D7" w:rsidRDefault="002D33D7" w:rsidP="002D33D7">
      <w:pPr>
        <w:numPr>
          <w:ilvl w:val="0"/>
          <w:numId w:val="36"/>
        </w:numPr>
        <w:tabs>
          <w:tab w:val="left" w:pos="659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zażalenia,</w:t>
      </w:r>
    </w:p>
    <w:p w:rsidR="002D33D7" w:rsidRPr="002D33D7" w:rsidRDefault="002D33D7" w:rsidP="002D33D7">
      <w:pPr>
        <w:numPr>
          <w:ilvl w:val="0"/>
          <w:numId w:val="36"/>
        </w:numPr>
        <w:tabs>
          <w:tab w:val="left" w:pos="659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sprzeciwu,</w:t>
      </w:r>
    </w:p>
    <w:p w:rsidR="002D33D7" w:rsidRPr="002D33D7" w:rsidRDefault="002D33D7" w:rsidP="002D33D7">
      <w:pPr>
        <w:numPr>
          <w:ilvl w:val="0"/>
          <w:numId w:val="36"/>
        </w:numPr>
        <w:tabs>
          <w:tab w:val="left" w:pos="659"/>
        </w:tabs>
        <w:spacing w:after="360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kasacji.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16"/>
        </w:tabs>
        <w:spacing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37" w:name="bookmark38"/>
      <w:r w:rsidRPr="002D33D7">
        <w:rPr>
          <w:rFonts w:ascii="Verdana" w:eastAsia="Bookman Old Style" w:hAnsi="Verdana" w:cs="Bookman Old Style"/>
          <w:bCs/>
        </w:rPr>
        <w:t>Oskarżenie wzajemne może mieć miejsce w ramach:</w:t>
      </w:r>
      <w:bookmarkEnd w:id="37"/>
    </w:p>
    <w:p w:rsidR="002D33D7" w:rsidRPr="002D33D7" w:rsidRDefault="002D33D7" w:rsidP="002D33D7">
      <w:pPr>
        <w:numPr>
          <w:ilvl w:val="0"/>
          <w:numId w:val="37"/>
        </w:numPr>
        <w:tabs>
          <w:tab w:val="left" w:pos="659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postępowania przyspieszonego,</w:t>
      </w:r>
    </w:p>
    <w:p w:rsidR="002D33D7" w:rsidRPr="002D33D7" w:rsidRDefault="002D33D7" w:rsidP="002D33D7">
      <w:pPr>
        <w:numPr>
          <w:ilvl w:val="0"/>
          <w:numId w:val="37"/>
        </w:numPr>
        <w:tabs>
          <w:tab w:val="left" w:pos="659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postępowania wszczętego na podstawie subsydiarnego aktu oskarżenia,</w:t>
      </w:r>
    </w:p>
    <w:p w:rsidR="002D33D7" w:rsidRPr="002D33D7" w:rsidRDefault="002D33D7" w:rsidP="002D33D7">
      <w:pPr>
        <w:numPr>
          <w:ilvl w:val="0"/>
          <w:numId w:val="37"/>
        </w:numPr>
        <w:tabs>
          <w:tab w:val="left" w:pos="659"/>
        </w:tabs>
        <w:spacing w:after="491"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postępowania z oskarżenia prywatnego.</w:t>
      </w:r>
    </w:p>
    <w:p w:rsidR="002D33D7" w:rsidRPr="002D33D7" w:rsidRDefault="002D33D7" w:rsidP="002D33D7">
      <w:pPr>
        <w:keepNext/>
        <w:keepLines/>
        <w:numPr>
          <w:ilvl w:val="0"/>
          <w:numId w:val="2"/>
        </w:numPr>
        <w:tabs>
          <w:tab w:val="left" w:pos="816"/>
        </w:tabs>
        <w:spacing w:after="118" w:line="276" w:lineRule="auto"/>
        <w:jc w:val="both"/>
        <w:outlineLvl w:val="1"/>
        <w:rPr>
          <w:rFonts w:ascii="Verdana" w:eastAsia="Bookman Old Style" w:hAnsi="Verdana" w:cs="Bookman Old Style"/>
          <w:bCs/>
        </w:rPr>
      </w:pPr>
      <w:bookmarkStart w:id="38" w:name="bookmark39"/>
      <w:r w:rsidRPr="002D33D7">
        <w:rPr>
          <w:rFonts w:ascii="Verdana" w:eastAsia="Bookman Old Style" w:hAnsi="Verdana" w:cs="Bookman Old Style"/>
          <w:bCs/>
        </w:rPr>
        <w:t>Sąd warunkowo umarzając postępowanie orzeka:</w:t>
      </w:r>
      <w:bookmarkEnd w:id="38"/>
    </w:p>
    <w:p w:rsidR="002D33D7" w:rsidRPr="002D33D7" w:rsidRDefault="002D33D7" w:rsidP="002D33D7">
      <w:pPr>
        <w:numPr>
          <w:ilvl w:val="0"/>
          <w:numId w:val="38"/>
        </w:numPr>
        <w:tabs>
          <w:tab w:val="left" w:pos="659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zawsze postanowieniem,</w:t>
      </w:r>
    </w:p>
    <w:p w:rsidR="002D33D7" w:rsidRPr="002D33D7" w:rsidRDefault="002D33D7" w:rsidP="002D33D7">
      <w:pPr>
        <w:numPr>
          <w:ilvl w:val="0"/>
          <w:numId w:val="38"/>
        </w:numPr>
        <w:tabs>
          <w:tab w:val="left" w:pos="658"/>
        </w:tabs>
        <w:spacing w:line="276" w:lineRule="auto"/>
        <w:jc w:val="both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zawsze wyrokiem,</w:t>
      </w:r>
    </w:p>
    <w:p w:rsidR="002D33D7" w:rsidRPr="002D33D7" w:rsidRDefault="002D33D7" w:rsidP="002D33D7">
      <w:pPr>
        <w:numPr>
          <w:ilvl w:val="0"/>
          <w:numId w:val="38"/>
        </w:numPr>
        <w:tabs>
          <w:tab w:val="left" w:pos="658"/>
        </w:tabs>
        <w:spacing w:line="276" w:lineRule="auto"/>
        <w:rPr>
          <w:rFonts w:ascii="Verdana" w:eastAsia="Bookman Old Style" w:hAnsi="Verdana" w:cs="Bookman Old Style"/>
        </w:rPr>
      </w:pPr>
      <w:r w:rsidRPr="002D33D7">
        <w:rPr>
          <w:rFonts w:ascii="Verdana" w:eastAsia="Bookman Old Style" w:hAnsi="Verdana" w:cs="Bookman Old Style"/>
        </w:rPr>
        <w:t>postanowieniem w przypadku rozpoznania wniosku o warunkowe umorzenie postępowania na posiedzeniu.</w:t>
      </w:r>
    </w:p>
    <w:p w:rsidR="002D33D7" w:rsidRDefault="002D33D7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2D33D7" w:rsidRDefault="002D33D7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2D33D7" w:rsidRDefault="002D33D7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2D33D7" w:rsidRDefault="002D33D7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2D33D7" w:rsidRDefault="002D33D7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2D33D7" w:rsidRDefault="002D33D7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2D33D7" w:rsidRDefault="002D33D7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2D33D7" w:rsidRDefault="002D33D7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2D33D7" w:rsidRDefault="002D33D7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2D33D7" w:rsidRDefault="002D33D7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2D33D7" w:rsidRDefault="002D33D7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2D33D7" w:rsidRDefault="002D33D7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DE5309" w:rsidRDefault="00DE5309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DE5309" w:rsidRDefault="00DE5309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DE5309" w:rsidRDefault="00DE5309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DE5309" w:rsidRDefault="00DE5309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DE5309" w:rsidRDefault="00DE5309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DE5309" w:rsidRDefault="00DE5309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  <w:bookmarkStart w:id="39" w:name="_GoBack"/>
      <w:bookmarkEnd w:id="39"/>
    </w:p>
    <w:p w:rsidR="002D33D7" w:rsidRDefault="002D33D7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</w:p>
    <w:p w:rsidR="00A90A7A" w:rsidRPr="00A90A7A" w:rsidRDefault="00A90A7A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  <w:r w:rsidRPr="00A90A7A">
        <w:rPr>
          <w:rFonts w:ascii="Verdana" w:hAnsi="Verdana"/>
          <w:b w:val="0"/>
          <w:sz w:val="24"/>
          <w:szCs w:val="24"/>
        </w:rPr>
        <w:lastRenderedPageBreak/>
        <w:t>Praca pisemna do konkursu nr Kd-111-10/17 na stanowisko asystenta sędziego w Sądzie Rejonowym dla Warszawy-Śródmieścia w Warszawie – prawo cywilne</w:t>
      </w:r>
    </w:p>
    <w:p w:rsidR="00AD2D5D" w:rsidRPr="00A90A7A" w:rsidRDefault="00A90A7A" w:rsidP="00A90A7A">
      <w:pPr>
        <w:pStyle w:val="Teksttreci30"/>
        <w:shd w:val="clear" w:color="auto" w:fill="auto"/>
        <w:spacing w:before="477" w:after="351" w:line="220" w:lineRule="exact"/>
        <w:jc w:val="left"/>
        <w:rPr>
          <w:rFonts w:ascii="Verdana" w:hAnsi="Verdana"/>
          <w:b w:val="0"/>
          <w:sz w:val="24"/>
          <w:szCs w:val="24"/>
        </w:rPr>
      </w:pPr>
      <w:r w:rsidRPr="00A90A7A">
        <w:rPr>
          <w:rStyle w:val="Teksttreci31"/>
          <w:rFonts w:ascii="Verdana" w:hAnsi="Verdana"/>
          <w:bCs/>
          <w:sz w:val="24"/>
          <w:szCs w:val="24"/>
          <w:u w:val="none"/>
        </w:rPr>
        <w:t>P</w:t>
      </w:r>
      <w:r w:rsidR="00B136DF" w:rsidRPr="00A90A7A">
        <w:rPr>
          <w:rStyle w:val="Teksttreci31"/>
          <w:rFonts w:ascii="Verdana" w:hAnsi="Verdana"/>
          <w:bCs/>
          <w:sz w:val="24"/>
          <w:szCs w:val="24"/>
          <w:u w:val="none"/>
        </w:rPr>
        <w:t>rawo cywilne</w:t>
      </w:r>
      <w:r w:rsidR="002D33D7">
        <w:rPr>
          <w:rStyle w:val="Teksttreci31"/>
          <w:rFonts w:ascii="Verdana" w:hAnsi="Verdana"/>
          <w:bCs/>
          <w:sz w:val="24"/>
          <w:szCs w:val="24"/>
          <w:u w:val="none"/>
        </w:rPr>
        <w:t xml:space="preserve"> – praca pisemna</w:t>
      </w:r>
    </w:p>
    <w:p w:rsidR="00AD2D5D" w:rsidRPr="00A90A7A" w:rsidRDefault="00B136DF" w:rsidP="00A90A7A">
      <w:pPr>
        <w:pStyle w:val="Teksttreci20"/>
        <w:shd w:val="clear" w:color="auto" w:fill="auto"/>
        <w:spacing w:before="0"/>
        <w:ind w:firstLine="620"/>
        <w:jc w:val="left"/>
        <w:rPr>
          <w:rFonts w:ascii="Verdana" w:hAnsi="Verdana"/>
          <w:sz w:val="24"/>
          <w:szCs w:val="24"/>
        </w:rPr>
      </w:pPr>
      <w:r w:rsidRPr="00A90A7A">
        <w:rPr>
          <w:rFonts w:ascii="Verdana" w:hAnsi="Verdana"/>
          <w:sz w:val="24"/>
          <w:szCs w:val="24"/>
        </w:rPr>
        <w:t>W dniu 21 października 2014 r. Sąd Rejonowy dla Warszawy Śródmieścia w Warszawie wydał nakaz zapłaty w postępowaniu nakazowym z powództwa Perfect Leasing sp. z o.o. z siedzibą w Warszawie przeciwko Janowi Kowalskiemu.</w:t>
      </w:r>
    </w:p>
    <w:p w:rsidR="00AD2D5D" w:rsidRPr="00A90A7A" w:rsidRDefault="00B136DF" w:rsidP="00A90A7A">
      <w:pPr>
        <w:pStyle w:val="Teksttreci20"/>
        <w:shd w:val="clear" w:color="auto" w:fill="auto"/>
        <w:spacing w:before="0"/>
        <w:ind w:firstLine="620"/>
        <w:jc w:val="left"/>
        <w:rPr>
          <w:rFonts w:ascii="Verdana" w:hAnsi="Verdana"/>
          <w:sz w:val="24"/>
          <w:szCs w:val="24"/>
        </w:rPr>
      </w:pPr>
      <w:r w:rsidRPr="00A90A7A">
        <w:rPr>
          <w:rFonts w:ascii="Verdana" w:hAnsi="Verdana"/>
          <w:sz w:val="24"/>
          <w:szCs w:val="24"/>
        </w:rPr>
        <w:t>Przewodniczący składu orzekającego zarządził doręczenie zawodowemu pełnomocnikowi powoda odpisu nakazu zapłaty, zaś pozwanemu odpisu pozwu i nakazu zapłaty, ze stosownym pouczeniem.</w:t>
      </w:r>
    </w:p>
    <w:p w:rsidR="00AD2D5D" w:rsidRPr="00A90A7A" w:rsidRDefault="00B136DF" w:rsidP="00A90A7A">
      <w:pPr>
        <w:pStyle w:val="Teksttreci20"/>
        <w:shd w:val="clear" w:color="auto" w:fill="auto"/>
        <w:spacing w:before="0"/>
        <w:ind w:firstLine="620"/>
        <w:jc w:val="left"/>
        <w:rPr>
          <w:rFonts w:ascii="Verdana" w:hAnsi="Verdana"/>
          <w:sz w:val="24"/>
          <w:szCs w:val="24"/>
        </w:rPr>
      </w:pPr>
      <w:r w:rsidRPr="00A90A7A">
        <w:rPr>
          <w:rFonts w:ascii="Verdana" w:hAnsi="Verdana"/>
          <w:sz w:val="24"/>
          <w:szCs w:val="24"/>
        </w:rPr>
        <w:t>Przesyłka pocztowa zawierająca odpis nakazu zapłaty i odpis pozwu wysłana do pozwanego, powróciła do Sądu pod koniec 2014 r. z adnotacją: „nie podjęto w terminie” i została uznana za doręczoną prawidłowo.</w:t>
      </w:r>
    </w:p>
    <w:p w:rsidR="00AD2D5D" w:rsidRPr="00A90A7A" w:rsidRDefault="00B136DF" w:rsidP="00A90A7A">
      <w:pPr>
        <w:pStyle w:val="Teksttreci20"/>
        <w:shd w:val="clear" w:color="auto" w:fill="auto"/>
        <w:spacing w:before="0"/>
        <w:ind w:firstLine="620"/>
        <w:jc w:val="left"/>
        <w:rPr>
          <w:rFonts w:ascii="Verdana" w:hAnsi="Verdana"/>
          <w:sz w:val="24"/>
          <w:szCs w:val="24"/>
        </w:rPr>
      </w:pPr>
      <w:r w:rsidRPr="00A90A7A">
        <w:rPr>
          <w:rFonts w:ascii="Verdana" w:hAnsi="Verdana"/>
          <w:sz w:val="24"/>
          <w:szCs w:val="24"/>
        </w:rPr>
        <w:t>Powód uzyskał nadanie klauzuli wykonalności uprawomocnionemu nakazowi zapłaty.</w:t>
      </w:r>
    </w:p>
    <w:p w:rsidR="00AD2D5D" w:rsidRPr="00A90A7A" w:rsidRDefault="00B136DF" w:rsidP="00A90A7A">
      <w:pPr>
        <w:pStyle w:val="Teksttreci20"/>
        <w:shd w:val="clear" w:color="auto" w:fill="auto"/>
        <w:spacing w:before="0" w:after="716"/>
        <w:ind w:firstLine="620"/>
        <w:jc w:val="left"/>
        <w:rPr>
          <w:rFonts w:ascii="Verdana" w:hAnsi="Verdana"/>
          <w:sz w:val="24"/>
          <w:szCs w:val="24"/>
        </w:rPr>
      </w:pPr>
      <w:r w:rsidRPr="00A90A7A">
        <w:rPr>
          <w:rFonts w:ascii="Verdana" w:hAnsi="Verdana"/>
          <w:sz w:val="24"/>
          <w:szCs w:val="24"/>
        </w:rPr>
        <w:t>W dniu 14 lipca 2017 r. pozwany Jan Kowalski złożył do Sądu pismo zatytułowane „sprzeciw od nakazu zapłaty”, w którym wniósł o przywrócenie terminu do wniesienia sprzeciwu od nakazu zapłaty, o wstrzymanie wykonania nakazu zapłaty oraz o uchylenie klauzuli wykonalności nadanej nakazowi zapłaty. We wniosku pozwany podniósł, że od końca 2013 r. nie mieszkał już pod adresem wskazanym w pozwie, na dowód czego złożył zaświadczenie o zameldowaniu na pobyt stały o takiej treści. Złożył także dokumenty świadczące, że na początku 2014 r. doznał skomplikowanego złamania nogi i w okresie 2014-2017 przebył 4 zabiegi operacyjne, w tym 2 poza granicami kraju. Poinformował nadto we wniosku, że informację o toczącym się z jego udziałem postępowaniu komorniczym powziął od komornika w dniu 07 lipca 2017 r.</w:t>
      </w:r>
    </w:p>
    <w:p w:rsidR="00AD2D5D" w:rsidRPr="00A90A7A" w:rsidRDefault="00B136DF" w:rsidP="00A90A7A">
      <w:pPr>
        <w:pStyle w:val="Teksttreci40"/>
        <w:shd w:val="clear" w:color="auto" w:fill="auto"/>
        <w:spacing w:before="0"/>
        <w:jc w:val="left"/>
        <w:rPr>
          <w:rFonts w:ascii="Verdana" w:hAnsi="Verdana"/>
          <w:b w:val="0"/>
          <w:i w:val="0"/>
        </w:rPr>
      </w:pPr>
      <w:r w:rsidRPr="00A90A7A">
        <w:rPr>
          <w:rFonts w:ascii="Verdana" w:hAnsi="Verdana"/>
          <w:b w:val="0"/>
          <w:i w:val="0"/>
        </w:rPr>
        <w:t>Proszę przygotować projekt postanowienia Sądu Rejonowego dla Warszawy Śródmieścia w Warszawie, jego uzasadnienia (nawet jeśli sporządzenia uzasadnienia nie wymagają przepisy procedury cywilnej) oraz zarządzenia o doręczeniu stronom odpisu postanowienia i dokonaniu pouczenia (jeśli wymagają tego przepisy postępowania).</w:t>
      </w:r>
    </w:p>
    <w:p w:rsidR="00AD2D5D" w:rsidRPr="00A90A7A" w:rsidRDefault="00AD2D5D" w:rsidP="00A90A7A">
      <w:pPr>
        <w:rPr>
          <w:rFonts w:ascii="Verdana" w:hAnsi="Verdana"/>
        </w:rPr>
      </w:pPr>
    </w:p>
    <w:p w:rsidR="00A90A7A" w:rsidRPr="00A90A7A" w:rsidRDefault="00A90A7A" w:rsidP="00A90A7A">
      <w:pPr>
        <w:pStyle w:val="Teksttreci30"/>
        <w:shd w:val="clear" w:color="auto" w:fill="auto"/>
        <w:spacing w:before="0" w:after="15" w:line="220" w:lineRule="exact"/>
        <w:jc w:val="left"/>
        <w:rPr>
          <w:rFonts w:ascii="Verdana" w:hAnsi="Verdana"/>
          <w:b w:val="0"/>
          <w:sz w:val="24"/>
          <w:szCs w:val="24"/>
        </w:rPr>
      </w:pPr>
    </w:p>
    <w:p w:rsidR="00A90A7A" w:rsidRPr="00A90A7A" w:rsidRDefault="00A90A7A" w:rsidP="00A90A7A">
      <w:pPr>
        <w:pStyle w:val="Teksttreci30"/>
        <w:shd w:val="clear" w:color="auto" w:fill="auto"/>
        <w:spacing w:before="0" w:after="15" w:line="220" w:lineRule="exact"/>
        <w:jc w:val="left"/>
        <w:rPr>
          <w:rFonts w:ascii="Verdana" w:hAnsi="Verdana"/>
          <w:b w:val="0"/>
          <w:sz w:val="24"/>
          <w:szCs w:val="24"/>
        </w:rPr>
      </w:pPr>
    </w:p>
    <w:p w:rsidR="00A90A7A" w:rsidRPr="00A90A7A" w:rsidRDefault="00A90A7A" w:rsidP="00A90A7A">
      <w:pPr>
        <w:pStyle w:val="Teksttreci30"/>
        <w:shd w:val="clear" w:color="auto" w:fill="auto"/>
        <w:spacing w:before="0" w:after="15" w:line="220" w:lineRule="exact"/>
        <w:jc w:val="left"/>
        <w:rPr>
          <w:rFonts w:ascii="Verdana" w:hAnsi="Verdana"/>
          <w:b w:val="0"/>
          <w:sz w:val="24"/>
          <w:szCs w:val="24"/>
        </w:rPr>
      </w:pPr>
    </w:p>
    <w:p w:rsidR="00A90A7A" w:rsidRPr="00A90A7A" w:rsidRDefault="00A90A7A" w:rsidP="00A90A7A">
      <w:pPr>
        <w:pStyle w:val="Teksttreci30"/>
        <w:shd w:val="clear" w:color="auto" w:fill="auto"/>
        <w:spacing w:before="0" w:after="15" w:line="220" w:lineRule="exact"/>
        <w:jc w:val="left"/>
        <w:rPr>
          <w:rFonts w:ascii="Verdana" w:hAnsi="Verdana"/>
          <w:b w:val="0"/>
          <w:sz w:val="24"/>
          <w:szCs w:val="24"/>
        </w:rPr>
      </w:pPr>
    </w:p>
    <w:p w:rsidR="00A90A7A" w:rsidRDefault="00A90A7A" w:rsidP="00A90A7A">
      <w:pPr>
        <w:rPr>
          <w:rFonts w:ascii="Verdana" w:hAnsi="Verdana"/>
        </w:rPr>
      </w:pPr>
    </w:p>
    <w:p w:rsidR="002D33D7" w:rsidRPr="00A90A7A" w:rsidRDefault="002D33D7" w:rsidP="00A90A7A">
      <w:pPr>
        <w:rPr>
          <w:rFonts w:ascii="Verdana" w:hAnsi="Verdana"/>
        </w:rPr>
      </w:pPr>
    </w:p>
    <w:p w:rsidR="00A90A7A" w:rsidRPr="00A90A7A" w:rsidRDefault="00A90A7A" w:rsidP="00A90A7A">
      <w:pPr>
        <w:pStyle w:val="Podpisobrazu0"/>
        <w:shd w:val="clear" w:color="auto" w:fill="auto"/>
        <w:rPr>
          <w:rFonts w:ascii="Verdana" w:hAnsi="Verdana"/>
          <w:b w:val="0"/>
          <w:sz w:val="24"/>
          <w:szCs w:val="24"/>
        </w:rPr>
      </w:pPr>
      <w:r w:rsidRPr="00A90A7A">
        <w:rPr>
          <w:rFonts w:ascii="Verdana" w:hAnsi="Verdana"/>
          <w:b w:val="0"/>
          <w:sz w:val="24"/>
          <w:szCs w:val="24"/>
        </w:rPr>
        <w:lastRenderedPageBreak/>
        <w:t>Praca pisemna do konkursu nr Kd-111-10/17 na stanowisko asystenta sędziego w Sądzie Rejonowym dla Warszawy-Śródmieścia w Warszawie – prawo karne</w:t>
      </w:r>
    </w:p>
    <w:p w:rsidR="00A90A7A" w:rsidRPr="00A90A7A" w:rsidRDefault="00A90A7A" w:rsidP="00A90A7A">
      <w:pPr>
        <w:pStyle w:val="Teksttreci30"/>
        <w:shd w:val="clear" w:color="auto" w:fill="auto"/>
        <w:spacing w:before="0" w:after="15" w:line="220" w:lineRule="exact"/>
        <w:jc w:val="left"/>
        <w:rPr>
          <w:rFonts w:ascii="Verdana" w:hAnsi="Verdana"/>
          <w:b w:val="0"/>
          <w:sz w:val="24"/>
          <w:szCs w:val="24"/>
        </w:rPr>
      </w:pPr>
    </w:p>
    <w:p w:rsidR="00A90A7A" w:rsidRDefault="00A90A7A" w:rsidP="00A90A7A">
      <w:pPr>
        <w:pStyle w:val="Teksttreci30"/>
        <w:shd w:val="clear" w:color="auto" w:fill="auto"/>
        <w:spacing w:before="0" w:after="15" w:line="220" w:lineRule="exact"/>
        <w:jc w:val="left"/>
        <w:rPr>
          <w:rFonts w:ascii="Verdana" w:hAnsi="Verdana"/>
          <w:b w:val="0"/>
          <w:sz w:val="24"/>
          <w:szCs w:val="24"/>
        </w:rPr>
      </w:pPr>
    </w:p>
    <w:p w:rsidR="00A90A7A" w:rsidRDefault="00A90A7A" w:rsidP="00A90A7A">
      <w:pPr>
        <w:pStyle w:val="Teksttreci30"/>
        <w:shd w:val="clear" w:color="auto" w:fill="auto"/>
        <w:spacing w:before="0" w:after="15" w:line="220" w:lineRule="exact"/>
        <w:jc w:val="left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b w:val="0"/>
          <w:sz w:val="24"/>
          <w:szCs w:val="24"/>
        </w:rPr>
        <w:t>Prawo karne</w:t>
      </w:r>
      <w:r w:rsidR="002D33D7">
        <w:rPr>
          <w:rFonts w:ascii="Verdana" w:hAnsi="Verdana"/>
          <w:b w:val="0"/>
          <w:sz w:val="24"/>
          <w:szCs w:val="24"/>
        </w:rPr>
        <w:t xml:space="preserve"> – praca pisemna</w:t>
      </w:r>
    </w:p>
    <w:p w:rsidR="00A90A7A" w:rsidRDefault="00A90A7A" w:rsidP="00A90A7A">
      <w:pPr>
        <w:pStyle w:val="Teksttreci30"/>
        <w:shd w:val="clear" w:color="auto" w:fill="auto"/>
        <w:spacing w:before="0" w:after="15" w:line="220" w:lineRule="exact"/>
        <w:jc w:val="left"/>
        <w:rPr>
          <w:rFonts w:ascii="Verdana" w:hAnsi="Verdana"/>
          <w:b w:val="0"/>
          <w:sz w:val="24"/>
          <w:szCs w:val="24"/>
        </w:rPr>
      </w:pPr>
    </w:p>
    <w:p w:rsidR="00A90A7A" w:rsidRDefault="00A90A7A" w:rsidP="00A90A7A">
      <w:pPr>
        <w:pStyle w:val="Teksttreci30"/>
        <w:shd w:val="clear" w:color="auto" w:fill="auto"/>
        <w:spacing w:before="0" w:after="15" w:line="220" w:lineRule="exact"/>
        <w:jc w:val="left"/>
        <w:rPr>
          <w:rFonts w:ascii="Verdana" w:hAnsi="Verdana"/>
          <w:b w:val="0"/>
          <w:sz w:val="24"/>
          <w:szCs w:val="24"/>
        </w:rPr>
      </w:pPr>
    </w:p>
    <w:p w:rsidR="00AD2D5D" w:rsidRPr="00A90A7A" w:rsidRDefault="00B136DF" w:rsidP="00A90A7A">
      <w:pPr>
        <w:pStyle w:val="Teksttreci30"/>
        <w:shd w:val="clear" w:color="auto" w:fill="auto"/>
        <w:spacing w:before="0" w:after="15" w:line="220" w:lineRule="exact"/>
        <w:jc w:val="left"/>
        <w:rPr>
          <w:rFonts w:ascii="Verdana" w:hAnsi="Verdana"/>
          <w:b w:val="0"/>
          <w:sz w:val="24"/>
          <w:szCs w:val="24"/>
        </w:rPr>
      </w:pPr>
      <w:r w:rsidRPr="00A90A7A">
        <w:rPr>
          <w:rFonts w:ascii="Verdana" w:hAnsi="Verdana"/>
          <w:b w:val="0"/>
          <w:sz w:val="24"/>
          <w:szCs w:val="24"/>
        </w:rPr>
        <w:t>Adrian K. został oskarżony o to, że :</w:t>
      </w:r>
    </w:p>
    <w:p w:rsidR="00AD2D5D" w:rsidRPr="00A90A7A" w:rsidRDefault="00B136DF" w:rsidP="00A90A7A">
      <w:pPr>
        <w:pStyle w:val="Teksttreci20"/>
        <w:shd w:val="clear" w:color="auto" w:fill="auto"/>
        <w:spacing w:before="0" w:after="304" w:line="374" w:lineRule="exact"/>
        <w:jc w:val="left"/>
        <w:rPr>
          <w:rFonts w:ascii="Verdana" w:hAnsi="Verdana"/>
          <w:sz w:val="24"/>
          <w:szCs w:val="24"/>
        </w:rPr>
      </w:pPr>
      <w:r w:rsidRPr="00A90A7A">
        <w:rPr>
          <w:rFonts w:ascii="Verdana" w:hAnsi="Verdana"/>
          <w:sz w:val="24"/>
          <w:szCs w:val="24"/>
        </w:rPr>
        <w:t xml:space="preserve">w dniu 01 czerwca 2017r. w Warszawie przy ul. Marszałkowskiej 140 prowadził po drodze publicznej pojazd mechaniczny marki Mitsubishi </w:t>
      </w:r>
      <w:proofErr w:type="spellStart"/>
      <w:r w:rsidRPr="00A90A7A">
        <w:rPr>
          <w:rFonts w:ascii="Verdana" w:hAnsi="Verdana"/>
          <w:sz w:val="24"/>
          <w:szCs w:val="24"/>
        </w:rPr>
        <w:t>Outlander</w:t>
      </w:r>
      <w:proofErr w:type="spellEnd"/>
      <w:r w:rsidRPr="00A90A7A">
        <w:rPr>
          <w:rFonts w:ascii="Verdana" w:hAnsi="Verdana"/>
          <w:sz w:val="24"/>
          <w:szCs w:val="24"/>
        </w:rPr>
        <w:t xml:space="preserve"> o nr rej. WK 2279K, nie stosując się do decyzji Starosty Powiatu Warszawskiego Zachodniego Nr 176/2014 z dnia 19 października 2015r. o cofnięciu uprawnień do kierowania pojazdami, </w:t>
      </w:r>
      <w:r w:rsidRPr="00A90A7A">
        <w:rPr>
          <w:rStyle w:val="Teksttreci2Pogrubienie"/>
          <w:rFonts w:ascii="Verdana" w:hAnsi="Verdana"/>
          <w:b w:val="0"/>
          <w:sz w:val="24"/>
          <w:szCs w:val="24"/>
        </w:rPr>
        <w:t>tj. o czyn z art. 180a kk</w:t>
      </w:r>
    </w:p>
    <w:p w:rsidR="00AD2D5D" w:rsidRPr="00A90A7A" w:rsidRDefault="00B136DF" w:rsidP="00A90A7A">
      <w:pPr>
        <w:pStyle w:val="Teksttreci20"/>
        <w:shd w:val="clear" w:color="auto" w:fill="auto"/>
        <w:spacing w:before="0"/>
        <w:jc w:val="left"/>
        <w:rPr>
          <w:rFonts w:ascii="Verdana" w:hAnsi="Verdana"/>
          <w:sz w:val="24"/>
          <w:szCs w:val="24"/>
        </w:rPr>
      </w:pPr>
      <w:r w:rsidRPr="00A90A7A">
        <w:rPr>
          <w:rFonts w:ascii="Verdana" w:hAnsi="Verdana"/>
          <w:sz w:val="24"/>
          <w:szCs w:val="24"/>
        </w:rPr>
        <w:t>Oskarżony ma 39 lat, wykształcenie wyższe, z zawodu jest inżynierem budowy maszyn, prowadzi własną działalność gospodarczą, osiąga dochód w kwocie 12 tys. brutto miesięcznie, posiada na utrzymaniu trójkę dzieci w wieku 6 lat, 3 lat, 1 roku, nie leczył się psychiatrycznie. Oskarżony przyznał się do zarzuconego mu czynu</w:t>
      </w:r>
      <w:r w:rsidR="00A90A7A">
        <w:rPr>
          <w:rFonts w:ascii="Verdana" w:hAnsi="Verdana"/>
          <w:sz w:val="24"/>
          <w:szCs w:val="24"/>
        </w:rPr>
        <w:t xml:space="preserve"> i </w:t>
      </w:r>
      <w:r w:rsidRPr="00A90A7A">
        <w:rPr>
          <w:rFonts w:ascii="Verdana" w:hAnsi="Verdana"/>
          <w:sz w:val="24"/>
          <w:szCs w:val="24"/>
        </w:rPr>
        <w:t>wyraził skruchę z tego powodu.</w:t>
      </w:r>
    </w:p>
    <w:p w:rsidR="00AD2D5D" w:rsidRPr="00A90A7A" w:rsidRDefault="00B136DF" w:rsidP="00A90A7A">
      <w:pPr>
        <w:pStyle w:val="Teksttreci20"/>
        <w:shd w:val="clear" w:color="auto" w:fill="auto"/>
        <w:spacing w:before="0" w:line="374" w:lineRule="exact"/>
        <w:jc w:val="left"/>
        <w:rPr>
          <w:rFonts w:ascii="Verdana" w:hAnsi="Verdana"/>
          <w:sz w:val="24"/>
          <w:szCs w:val="24"/>
        </w:rPr>
      </w:pPr>
      <w:r w:rsidRPr="00A90A7A">
        <w:rPr>
          <w:rFonts w:ascii="Verdana" w:hAnsi="Verdana"/>
          <w:sz w:val="24"/>
          <w:szCs w:val="24"/>
        </w:rPr>
        <w:t>Oskarżony był dotychczas karany za przestępstwo z art. 178 a §1 kk wyrokiem z dnia 18 stycznia 2015r. (prawomocnym z dniem 26 stycznia 2015r.) na karę 6 miesięcy pozbawienia wolności z warunkowym zawieszeniem wykonania kary na okres lat 3, świadczenie pieniężne w kwocie 5000 zł oraz środek karny w postaci zakaz prowadzenia wszelkich pojazdów mechanicznych w ruchu lądowym na okres</w:t>
      </w:r>
      <w:r w:rsidR="00A90A7A">
        <w:rPr>
          <w:rFonts w:ascii="Verdana" w:hAnsi="Verdana"/>
          <w:sz w:val="24"/>
          <w:szCs w:val="24"/>
        </w:rPr>
        <w:t xml:space="preserve"> 2 </w:t>
      </w:r>
      <w:r w:rsidRPr="00A90A7A">
        <w:rPr>
          <w:rFonts w:ascii="Verdana" w:hAnsi="Verdana"/>
          <w:sz w:val="24"/>
          <w:szCs w:val="24"/>
        </w:rPr>
        <w:t>lat.</w:t>
      </w:r>
    </w:p>
    <w:p w:rsidR="00A90A7A" w:rsidRDefault="00A90A7A" w:rsidP="00A90A7A">
      <w:pPr>
        <w:pStyle w:val="Teksttreci40"/>
        <w:shd w:val="clear" w:color="auto" w:fill="auto"/>
        <w:spacing w:before="0"/>
        <w:jc w:val="left"/>
        <w:rPr>
          <w:rFonts w:ascii="Verdana" w:hAnsi="Verdana"/>
          <w:b w:val="0"/>
          <w:i w:val="0"/>
        </w:rPr>
      </w:pPr>
    </w:p>
    <w:p w:rsidR="00AD2D5D" w:rsidRPr="00A90A7A" w:rsidRDefault="00B136DF" w:rsidP="00A90A7A">
      <w:pPr>
        <w:pStyle w:val="Teksttreci40"/>
        <w:shd w:val="clear" w:color="auto" w:fill="auto"/>
        <w:spacing w:before="0"/>
        <w:jc w:val="left"/>
        <w:rPr>
          <w:rFonts w:ascii="Verdana" w:hAnsi="Verdana"/>
          <w:b w:val="0"/>
          <w:i w:val="0"/>
        </w:rPr>
      </w:pPr>
      <w:r w:rsidRPr="00A90A7A">
        <w:rPr>
          <w:rFonts w:ascii="Verdana" w:hAnsi="Verdana"/>
          <w:b w:val="0"/>
          <w:i w:val="0"/>
        </w:rPr>
        <w:t>Proszę przygotować propozycję orzeczenia jakie powinno być wydane w tej sprawie, krótkie uzasadnienie powodów przyjętej w sprawie kwalifikacji prawnej oraz podstaw ewentualnie orzeczonych kar/środków karnych lub innych oraz wskazać czy orzeczenie jest zaskarżalne, a jeśli tak to w jaki sposób i w jakim terminie.</w:t>
      </w:r>
    </w:p>
    <w:sectPr w:rsidR="00AD2D5D" w:rsidRPr="00A90A7A" w:rsidSect="002D33D7">
      <w:footerReference w:type="default" r:id="rId7"/>
      <w:pgSz w:w="11900" w:h="16840"/>
      <w:pgMar w:top="401" w:right="1084" w:bottom="1560" w:left="10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5D5" w:rsidRDefault="00D635D5">
      <w:r>
        <w:separator/>
      </w:r>
    </w:p>
  </w:endnote>
  <w:endnote w:type="continuationSeparator" w:id="0">
    <w:p w:rsidR="00D635D5" w:rsidRDefault="00D6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D5D" w:rsidRDefault="00AD2D5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5D5" w:rsidRDefault="00D635D5"/>
  </w:footnote>
  <w:footnote w:type="continuationSeparator" w:id="0">
    <w:p w:rsidR="00D635D5" w:rsidRDefault="00D635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FFE"/>
    <w:multiLevelType w:val="multilevel"/>
    <w:tmpl w:val="D8328540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55E46"/>
    <w:multiLevelType w:val="multilevel"/>
    <w:tmpl w:val="FE521FBE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6328D"/>
    <w:multiLevelType w:val="multilevel"/>
    <w:tmpl w:val="29E82AE4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BF4097"/>
    <w:multiLevelType w:val="multilevel"/>
    <w:tmpl w:val="3208E79C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D16E82"/>
    <w:multiLevelType w:val="multilevel"/>
    <w:tmpl w:val="7110ECB6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57D6B"/>
    <w:multiLevelType w:val="multilevel"/>
    <w:tmpl w:val="AC163E7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1361DB"/>
    <w:multiLevelType w:val="multilevel"/>
    <w:tmpl w:val="C8FE4EA2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112DA7"/>
    <w:multiLevelType w:val="multilevel"/>
    <w:tmpl w:val="51BE60E4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537A6A"/>
    <w:multiLevelType w:val="multilevel"/>
    <w:tmpl w:val="EECC8C8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5748F5"/>
    <w:multiLevelType w:val="multilevel"/>
    <w:tmpl w:val="31FAA014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757A17"/>
    <w:multiLevelType w:val="multilevel"/>
    <w:tmpl w:val="2A4C11F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5F44B6"/>
    <w:multiLevelType w:val="multilevel"/>
    <w:tmpl w:val="59AA3C06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F54045"/>
    <w:multiLevelType w:val="multilevel"/>
    <w:tmpl w:val="BCF249B0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7764AF"/>
    <w:multiLevelType w:val="multilevel"/>
    <w:tmpl w:val="9AA65F46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745021"/>
    <w:multiLevelType w:val="multilevel"/>
    <w:tmpl w:val="98AEC1B0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EF2E0E"/>
    <w:multiLevelType w:val="multilevel"/>
    <w:tmpl w:val="F2122AC8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234E63"/>
    <w:multiLevelType w:val="multilevel"/>
    <w:tmpl w:val="F0DA7C7A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7773EC"/>
    <w:multiLevelType w:val="multilevel"/>
    <w:tmpl w:val="D3C836E4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B6616F"/>
    <w:multiLevelType w:val="multilevel"/>
    <w:tmpl w:val="329269C8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7E35C4"/>
    <w:multiLevelType w:val="multilevel"/>
    <w:tmpl w:val="9746FB86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6F3CD4"/>
    <w:multiLevelType w:val="multilevel"/>
    <w:tmpl w:val="B30C5974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E3187E"/>
    <w:multiLevelType w:val="multilevel"/>
    <w:tmpl w:val="C1C89290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8544ED"/>
    <w:multiLevelType w:val="multilevel"/>
    <w:tmpl w:val="EFCE335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F618D3"/>
    <w:multiLevelType w:val="multilevel"/>
    <w:tmpl w:val="FD426894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914BC2"/>
    <w:multiLevelType w:val="multilevel"/>
    <w:tmpl w:val="0A387CB4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E61559"/>
    <w:multiLevelType w:val="multilevel"/>
    <w:tmpl w:val="663EBDFA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9330AF"/>
    <w:multiLevelType w:val="multilevel"/>
    <w:tmpl w:val="B49A2746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4C6A94"/>
    <w:multiLevelType w:val="multilevel"/>
    <w:tmpl w:val="E7C27B2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BA2824"/>
    <w:multiLevelType w:val="multilevel"/>
    <w:tmpl w:val="3E7EEA4E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CB3215"/>
    <w:multiLevelType w:val="multilevel"/>
    <w:tmpl w:val="1CD4364E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A433EC"/>
    <w:multiLevelType w:val="multilevel"/>
    <w:tmpl w:val="42FC48B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6B7558"/>
    <w:multiLevelType w:val="multilevel"/>
    <w:tmpl w:val="1FD45E7E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5D1661"/>
    <w:multiLevelType w:val="multilevel"/>
    <w:tmpl w:val="9684B53A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06494C"/>
    <w:multiLevelType w:val="multilevel"/>
    <w:tmpl w:val="56FECB9C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594D41"/>
    <w:multiLevelType w:val="multilevel"/>
    <w:tmpl w:val="E1C253D8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087CF8"/>
    <w:multiLevelType w:val="multilevel"/>
    <w:tmpl w:val="F9389FC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250F2D"/>
    <w:multiLevelType w:val="multilevel"/>
    <w:tmpl w:val="DAC2F3B2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CF43D1"/>
    <w:multiLevelType w:val="multilevel"/>
    <w:tmpl w:val="F1307C88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0"/>
  </w:num>
  <w:num w:numId="4">
    <w:abstractNumId w:val="7"/>
  </w:num>
  <w:num w:numId="5">
    <w:abstractNumId w:val="24"/>
  </w:num>
  <w:num w:numId="6">
    <w:abstractNumId w:val="19"/>
  </w:num>
  <w:num w:numId="7">
    <w:abstractNumId w:val="32"/>
  </w:num>
  <w:num w:numId="8">
    <w:abstractNumId w:val="37"/>
  </w:num>
  <w:num w:numId="9">
    <w:abstractNumId w:val="36"/>
  </w:num>
  <w:num w:numId="10">
    <w:abstractNumId w:val="27"/>
  </w:num>
  <w:num w:numId="11">
    <w:abstractNumId w:val="15"/>
  </w:num>
  <w:num w:numId="12">
    <w:abstractNumId w:val="20"/>
  </w:num>
  <w:num w:numId="13">
    <w:abstractNumId w:val="12"/>
  </w:num>
  <w:num w:numId="14">
    <w:abstractNumId w:val="17"/>
  </w:num>
  <w:num w:numId="15">
    <w:abstractNumId w:val="9"/>
  </w:num>
  <w:num w:numId="16">
    <w:abstractNumId w:val="26"/>
  </w:num>
  <w:num w:numId="17">
    <w:abstractNumId w:val="0"/>
  </w:num>
  <w:num w:numId="18">
    <w:abstractNumId w:val="16"/>
  </w:num>
  <w:num w:numId="19">
    <w:abstractNumId w:val="28"/>
  </w:num>
  <w:num w:numId="20">
    <w:abstractNumId w:val="11"/>
  </w:num>
  <w:num w:numId="21">
    <w:abstractNumId w:val="8"/>
  </w:num>
  <w:num w:numId="22">
    <w:abstractNumId w:val="29"/>
  </w:num>
  <w:num w:numId="23">
    <w:abstractNumId w:val="33"/>
  </w:num>
  <w:num w:numId="24">
    <w:abstractNumId w:val="23"/>
  </w:num>
  <w:num w:numId="25">
    <w:abstractNumId w:val="18"/>
  </w:num>
  <w:num w:numId="26">
    <w:abstractNumId w:val="25"/>
  </w:num>
  <w:num w:numId="27">
    <w:abstractNumId w:val="34"/>
  </w:num>
  <w:num w:numId="28">
    <w:abstractNumId w:val="35"/>
  </w:num>
  <w:num w:numId="29">
    <w:abstractNumId w:val="13"/>
  </w:num>
  <w:num w:numId="30">
    <w:abstractNumId w:val="14"/>
  </w:num>
  <w:num w:numId="31">
    <w:abstractNumId w:val="4"/>
  </w:num>
  <w:num w:numId="32">
    <w:abstractNumId w:val="21"/>
  </w:num>
  <w:num w:numId="33">
    <w:abstractNumId w:val="3"/>
  </w:num>
  <w:num w:numId="34">
    <w:abstractNumId w:val="1"/>
  </w:num>
  <w:num w:numId="35">
    <w:abstractNumId w:val="2"/>
  </w:num>
  <w:num w:numId="36">
    <w:abstractNumId w:val="31"/>
  </w:num>
  <w:num w:numId="37">
    <w:abstractNumId w:val="2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5D"/>
    <w:rsid w:val="000201EA"/>
    <w:rsid w:val="002D33D7"/>
    <w:rsid w:val="003D4AED"/>
    <w:rsid w:val="00523CCA"/>
    <w:rsid w:val="00807093"/>
    <w:rsid w:val="009B1397"/>
    <w:rsid w:val="00A90A7A"/>
    <w:rsid w:val="00AD2D5D"/>
    <w:rsid w:val="00B136DF"/>
    <w:rsid w:val="00D635D5"/>
    <w:rsid w:val="00DB293A"/>
    <w:rsid w:val="00DE5309"/>
    <w:rsid w:val="00F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A6950"/>
  <w15:docId w15:val="{F6984EB3-BECB-4CD6-96BC-48D45B13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">
    <w:name w:val="Podpis obrazu_"/>
    <w:basedOn w:val="Domylnaczcionkaakapitu"/>
    <w:link w:val="Podpisobrazu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">
    <w:name w:val="Tekst treści (3)"/>
    <w:basedOn w:val="Teksttreci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374" w:lineRule="exact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80" w:after="480" w:line="0" w:lineRule="atLeast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370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20" w:line="374" w:lineRule="exact"/>
      <w:jc w:val="both"/>
    </w:pPr>
    <w:rPr>
      <w:rFonts w:ascii="Bookman Old Style" w:eastAsia="Bookman Old Style" w:hAnsi="Bookman Old Style" w:cs="Bookman Old Style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1703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E Z E S</vt:lpstr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Z E S</dc:title>
  <dc:subject/>
  <dc:creator>Meder Krzysztof</dc:creator>
  <cp:keywords/>
  <cp:lastModifiedBy>Meder Krzysztof</cp:lastModifiedBy>
  <cp:revision>7</cp:revision>
  <dcterms:created xsi:type="dcterms:W3CDTF">2021-11-03T13:43:00Z</dcterms:created>
  <dcterms:modified xsi:type="dcterms:W3CDTF">2021-11-09T07:53:00Z</dcterms:modified>
</cp:coreProperties>
</file>