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54" w:rsidRDefault="00E94454" w:rsidP="00D572B3">
      <w:pPr>
        <w:jc w:val="center"/>
        <w:rPr>
          <w:sz w:val="2"/>
          <w:szCs w:val="2"/>
        </w:rPr>
      </w:pPr>
    </w:p>
    <w:p w:rsidR="009D6A6B" w:rsidRDefault="009D6A6B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Pr="00864B5A" w:rsidRDefault="00864B5A" w:rsidP="00864B5A">
      <w:pPr>
        <w:keepNext/>
        <w:keepLines/>
        <w:spacing w:after="502" w:line="276" w:lineRule="auto"/>
        <w:ind w:left="709"/>
        <w:outlineLvl w:val="0"/>
        <w:rPr>
          <w:rFonts w:ascii="Verdana" w:eastAsia="Bookman Old Style" w:hAnsi="Verdana" w:cs="Bookman Old Style"/>
          <w:bCs/>
          <w:color w:val="auto"/>
        </w:rPr>
      </w:pPr>
      <w:r w:rsidRPr="00864B5A">
        <w:rPr>
          <w:rFonts w:ascii="Verdana" w:eastAsia="Bookman Old Style" w:hAnsi="Verdana" w:cs="Bookman Old Style"/>
          <w:bCs/>
          <w:color w:val="auto"/>
        </w:rPr>
        <w:t>Test na konkurs na stanowisko asystenta sędziego (kd-111-3/16) przeprowadzony w dniu 23 marca 2016 r.</w:t>
      </w:r>
    </w:p>
    <w:p w:rsidR="00864B5A" w:rsidRPr="00864B5A" w:rsidRDefault="00864B5A" w:rsidP="00864B5A">
      <w:pPr>
        <w:keepNext/>
        <w:keepLines/>
        <w:spacing w:after="502" w:line="276" w:lineRule="auto"/>
        <w:ind w:left="709"/>
        <w:outlineLvl w:val="0"/>
        <w:rPr>
          <w:rFonts w:ascii="Verdana" w:eastAsia="Bookman Old Style" w:hAnsi="Verdana" w:cs="Bookman Old Style"/>
          <w:bCs/>
          <w:color w:val="auto"/>
        </w:rPr>
      </w:pPr>
      <w:r w:rsidRPr="00864B5A">
        <w:rPr>
          <w:rFonts w:ascii="Verdana" w:eastAsia="Bookman Old Style" w:hAnsi="Verdana" w:cs="Bookman Old Style"/>
          <w:u w:val="single"/>
        </w:rPr>
        <w:t xml:space="preserve">Część </w:t>
      </w:r>
      <w:r w:rsidRPr="00864B5A">
        <w:rPr>
          <w:rFonts w:ascii="Verdana" w:eastAsia="Bookman Old Style" w:hAnsi="Verdana" w:cs="Bookman Old Style"/>
          <w:bCs/>
          <w:u w:val="single"/>
        </w:rPr>
        <w:t>I</w:t>
      </w:r>
      <w:r w:rsidRPr="00864B5A">
        <w:rPr>
          <w:rFonts w:ascii="Verdana" w:eastAsia="Bookman Old Style" w:hAnsi="Verdana" w:cs="Bookman Old Style"/>
          <w:u w:val="single"/>
        </w:rPr>
        <w:t xml:space="preserve"> - pytania z zakresu prawa cywilnego oraz postępowania cywilnego</w:t>
      </w:r>
    </w:p>
    <w:p w:rsidR="00864B5A" w:rsidRPr="00864B5A" w:rsidRDefault="00864B5A" w:rsidP="00864B5A">
      <w:pPr>
        <w:numPr>
          <w:ilvl w:val="0"/>
          <w:numId w:val="1"/>
        </w:numPr>
        <w:tabs>
          <w:tab w:val="left" w:pos="1214"/>
        </w:tabs>
        <w:spacing w:line="276" w:lineRule="auto"/>
        <w:ind w:left="709" w:right="260"/>
        <w:rPr>
          <w:rFonts w:ascii="Verdana" w:eastAsia="Bookman Old Style" w:hAnsi="Verdana" w:cs="Bookman Old Style"/>
          <w:bCs/>
          <w:color w:val="auto"/>
        </w:rPr>
      </w:pPr>
      <w:r w:rsidRPr="00864B5A">
        <w:rPr>
          <w:rFonts w:ascii="Verdana" w:eastAsia="Bookman Old Style" w:hAnsi="Verdana" w:cs="Bookman Old Style"/>
          <w:bCs/>
          <w:color w:val="auto"/>
        </w:rPr>
        <w:t>Czynność prawna dokonana przez osobę, która nie ma zdolności do czynności prawnych, jest co do zasady:</w:t>
      </w:r>
    </w:p>
    <w:p w:rsidR="00864B5A" w:rsidRPr="00864B5A" w:rsidRDefault="00864B5A" w:rsidP="00864B5A">
      <w:pPr>
        <w:numPr>
          <w:ilvl w:val="0"/>
          <w:numId w:val="2"/>
        </w:numPr>
        <w:tabs>
          <w:tab w:val="left" w:pos="174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ważna, choć bezskuteczna,</w:t>
      </w:r>
    </w:p>
    <w:p w:rsidR="00864B5A" w:rsidRPr="00864B5A" w:rsidRDefault="00864B5A" w:rsidP="00864B5A">
      <w:pPr>
        <w:numPr>
          <w:ilvl w:val="0"/>
          <w:numId w:val="2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nieważna,</w:t>
      </w:r>
    </w:p>
    <w:p w:rsidR="00864B5A" w:rsidRPr="00864B5A" w:rsidRDefault="00864B5A" w:rsidP="00864B5A">
      <w:pPr>
        <w:numPr>
          <w:ilvl w:val="0"/>
          <w:numId w:val="2"/>
        </w:numPr>
        <w:tabs>
          <w:tab w:val="left" w:pos="1763"/>
        </w:tabs>
        <w:spacing w:after="432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ważna, lecz za zgodą przedstawiciela ustawowego.</w:t>
      </w:r>
    </w:p>
    <w:p w:rsidR="00864B5A" w:rsidRPr="00864B5A" w:rsidRDefault="00864B5A" w:rsidP="00864B5A">
      <w:pPr>
        <w:numPr>
          <w:ilvl w:val="0"/>
          <w:numId w:val="1"/>
        </w:numPr>
        <w:tabs>
          <w:tab w:val="left" w:pos="1252"/>
        </w:tabs>
        <w:spacing w:line="276" w:lineRule="auto"/>
        <w:ind w:left="709"/>
        <w:rPr>
          <w:rFonts w:ascii="Verdana" w:eastAsia="Bookman Old Style" w:hAnsi="Verdana" w:cs="Bookman Old Style"/>
          <w:bCs/>
          <w:color w:val="auto"/>
        </w:rPr>
      </w:pPr>
      <w:r w:rsidRPr="00864B5A">
        <w:rPr>
          <w:rFonts w:ascii="Verdana" w:eastAsia="Bookman Old Style" w:hAnsi="Verdana" w:cs="Bookman Old Style"/>
          <w:bCs/>
          <w:color w:val="auto"/>
        </w:rPr>
        <w:t>Osobą prawną nie jest:</w:t>
      </w:r>
    </w:p>
    <w:p w:rsidR="00864B5A" w:rsidRPr="00864B5A" w:rsidRDefault="00864B5A" w:rsidP="00864B5A">
      <w:pPr>
        <w:numPr>
          <w:ilvl w:val="0"/>
          <w:numId w:val="3"/>
        </w:numPr>
        <w:tabs>
          <w:tab w:val="left" w:pos="174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Skarb Państwa,</w:t>
      </w:r>
    </w:p>
    <w:p w:rsidR="00864B5A" w:rsidRPr="00864B5A" w:rsidRDefault="00864B5A" w:rsidP="00864B5A">
      <w:pPr>
        <w:numPr>
          <w:ilvl w:val="0"/>
          <w:numId w:val="3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spółdzielnia mieszkaniowa,</w:t>
      </w:r>
    </w:p>
    <w:p w:rsidR="00864B5A" w:rsidRPr="00864B5A" w:rsidRDefault="00864B5A" w:rsidP="00864B5A">
      <w:pPr>
        <w:numPr>
          <w:ilvl w:val="0"/>
          <w:numId w:val="3"/>
        </w:numPr>
        <w:tabs>
          <w:tab w:val="left" w:pos="1763"/>
        </w:tabs>
        <w:spacing w:after="592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wspólnota mieszkaniowa.</w:t>
      </w:r>
    </w:p>
    <w:p w:rsidR="00864B5A" w:rsidRPr="00864B5A" w:rsidRDefault="00864B5A" w:rsidP="00864B5A">
      <w:pPr>
        <w:numPr>
          <w:ilvl w:val="0"/>
          <w:numId w:val="1"/>
        </w:numPr>
        <w:tabs>
          <w:tab w:val="left" w:pos="1252"/>
        </w:tabs>
        <w:spacing w:line="276" w:lineRule="auto"/>
        <w:ind w:left="709" w:right="260"/>
        <w:rPr>
          <w:rFonts w:ascii="Verdana" w:eastAsia="Bookman Old Style" w:hAnsi="Verdana" w:cs="Bookman Old Style"/>
          <w:bCs/>
          <w:color w:val="auto"/>
        </w:rPr>
      </w:pPr>
      <w:r w:rsidRPr="00864B5A">
        <w:rPr>
          <w:rFonts w:ascii="Verdana" w:eastAsia="Bookman Old Style" w:hAnsi="Verdana" w:cs="Bookman Old Style"/>
          <w:bCs/>
          <w:color w:val="auto"/>
        </w:rPr>
        <w:t>Oświadczenie woli złożone przez osobę, która z jakichkolwiek powodów znajdowała się w stanie wyłączającym świadome albo swobodne powzięcie decyzji i wyrażenie woli,</w:t>
      </w:r>
    </w:p>
    <w:p w:rsidR="00864B5A" w:rsidRPr="00864B5A" w:rsidRDefault="00864B5A" w:rsidP="00864B5A">
      <w:pPr>
        <w:numPr>
          <w:ilvl w:val="0"/>
          <w:numId w:val="4"/>
        </w:numPr>
        <w:tabs>
          <w:tab w:val="left" w:pos="1782"/>
        </w:tabs>
        <w:spacing w:after="95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bezwzględnie nieważne,</w:t>
      </w:r>
    </w:p>
    <w:p w:rsidR="00864B5A" w:rsidRPr="00864B5A" w:rsidRDefault="00864B5A" w:rsidP="00864B5A">
      <w:pPr>
        <w:numPr>
          <w:ilvl w:val="0"/>
          <w:numId w:val="4"/>
        </w:numPr>
        <w:tabs>
          <w:tab w:val="left" w:pos="1792"/>
        </w:tabs>
        <w:spacing w:after="118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bezskuteczne,</w:t>
      </w:r>
    </w:p>
    <w:p w:rsidR="00864B5A" w:rsidRPr="00864B5A" w:rsidRDefault="00864B5A" w:rsidP="00864B5A">
      <w:pPr>
        <w:numPr>
          <w:ilvl w:val="0"/>
          <w:numId w:val="4"/>
        </w:numPr>
        <w:tabs>
          <w:tab w:val="left" w:pos="179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względnie nieważne</w:t>
      </w:r>
    </w:p>
    <w:p w:rsidR="00864B5A" w:rsidRPr="00864B5A" w:rsidRDefault="00864B5A" w:rsidP="00864B5A">
      <w:pPr>
        <w:numPr>
          <w:ilvl w:val="0"/>
          <w:numId w:val="1"/>
        </w:numPr>
        <w:tabs>
          <w:tab w:val="left" w:pos="1232"/>
        </w:tabs>
        <w:spacing w:after="49" w:line="276" w:lineRule="auto"/>
        <w:ind w:left="709"/>
        <w:rPr>
          <w:rFonts w:ascii="Verdana" w:eastAsia="Bookman Old Style" w:hAnsi="Verdana" w:cs="Bookman Old Style"/>
          <w:bCs/>
          <w:color w:val="auto"/>
        </w:rPr>
      </w:pPr>
      <w:r w:rsidRPr="00864B5A">
        <w:rPr>
          <w:rFonts w:ascii="Verdana" w:eastAsia="Bookman Old Style" w:hAnsi="Verdana" w:cs="Bookman Old Style"/>
          <w:bCs/>
          <w:color w:val="auto"/>
        </w:rPr>
        <w:t>Roszczenie stwierdzone prawomocnym orzeczeniem sądu przedawnia się z upływem</w:t>
      </w:r>
    </w:p>
    <w:p w:rsidR="00864B5A" w:rsidRPr="00864B5A" w:rsidRDefault="00864B5A" w:rsidP="00864B5A">
      <w:pPr>
        <w:numPr>
          <w:ilvl w:val="0"/>
          <w:numId w:val="5"/>
        </w:numPr>
        <w:tabs>
          <w:tab w:val="left" w:pos="17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2 lat,</w:t>
      </w:r>
    </w:p>
    <w:p w:rsidR="00864B5A" w:rsidRPr="00864B5A" w:rsidRDefault="00864B5A" w:rsidP="00864B5A">
      <w:pPr>
        <w:numPr>
          <w:ilvl w:val="0"/>
          <w:numId w:val="5"/>
        </w:numPr>
        <w:tabs>
          <w:tab w:val="left" w:pos="17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10 lat,</w:t>
      </w:r>
    </w:p>
    <w:p w:rsidR="00864B5A" w:rsidRPr="00864B5A" w:rsidRDefault="00864B5A" w:rsidP="00864B5A">
      <w:pPr>
        <w:numPr>
          <w:ilvl w:val="0"/>
          <w:numId w:val="5"/>
        </w:numPr>
        <w:tabs>
          <w:tab w:val="left" w:pos="1782"/>
        </w:tabs>
        <w:spacing w:after="42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3 lat.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23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r w:rsidRPr="00864B5A">
        <w:rPr>
          <w:rFonts w:ascii="Verdana" w:eastAsia="Bookman Old Style" w:hAnsi="Verdana" w:cs="Bookman Old Style"/>
          <w:bCs/>
          <w:color w:val="auto"/>
        </w:rPr>
        <w:t>Ograniczonym prawem rzeczowym nie jest:</w:t>
      </w:r>
    </w:p>
    <w:p w:rsidR="00864B5A" w:rsidRPr="00864B5A" w:rsidRDefault="00864B5A" w:rsidP="00864B5A">
      <w:pPr>
        <w:numPr>
          <w:ilvl w:val="0"/>
          <w:numId w:val="6"/>
        </w:numPr>
        <w:tabs>
          <w:tab w:val="left" w:pos="175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użytkowanie,</w:t>
      </w:r>
    </w:p>
    <w:p w:rsidR="00864B5A" w:rsidRPr="00864B5A" w:rsidRDefault="00864B5A" w:rsidP="00864B5A">
      <w:pPr>
        <w:numPr>
          <w:ilvl w:val="0"/>
          <w:numId w:val="6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dzierżawa,</w:t>
      </w:r>
    </w:p>
    <w:p w:rsidR="00864B5A" w:rsidRPr="00864B5A" w:rsidRDefault="00864B5A" w:rsidP="00864B5A">
      <w:pPr>
        <w:numPr>
          <w:ilvl w:val="0"/>
          <w:numId w:val="6"/>
        </w:numPr>
        <w:tabs>
          <w:tab w:val="left" w:pos="1763"/>
        </w:tabs>
        <w:spacing w:after="42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zastaw.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23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0" w:name="bookmark3"/>
      <w:r w:rsidRPr="00864B5A">
        <w:rPr>
          <w:rFonts w:ascii="Verdana" w:eastAsia="Bookman Old Style" w:hAnsi="Verdana" w:cs="Bookman Old Style"/>
          <w:bCs/>
          <w:color w:val="auto"/>
        </w:rPr>
        <w:t>Zobowiązanie jest solidarne, jeżeli to wynika:</w:t>
      </w:r>
      <w:bookmarkEnd w:id="0"/>
    </w:p>
    <w:p w:rsidR="00864B5A" w:rsidRPr="00864B5A" w:rsidRDefault="00864B5A" w:rsidP="00864B5A">
      <w:pPr>
        <w:numPr>
          <w:ilvl w:val="0"/>
          <w:numId w:val="7"/>
        </w:numPr>
        <w:tabs>
          <w:tab w:val="left" w:pos="17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 umowy zawartej między stronami stosunku prawnego,</w:t>
      </w:r>
    </w:p>
    <w:p w:rsidR="00864B5A" w:rsidRPr="00864B5A" w:rsidRDefault="00864B5A" w:rsidP="00864B5A">
      <w:pPr>
        <w:numPr>
          <w:ilvl w:val="0"/>
          <w:numId w:val="7"/>
        </w:numPr>
        <w:tabs>
          <w:tab w:val="left" w:pos="17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 decyzji właściwego organu,</w:t>
      </w:r>
    </w:p>
    <w:p w:rsidR="00864B5A" w:rsidRPr="00864B5A" w:rsidRDefault="00864B5A" w:rsidP="00864B5A">
      <w:pPr>
        <w:numPr>
          <w:ilvl w:val="0"/>
          <w:numId w:val="7"/>
        </w:numPr>
        <w:tabs>
          <w:tab w:val="left" w:pos="1782"/>
        </w:tabs>
        <w:spacing w:after="42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orzeczenia sądu.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21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" w:name="bookmark4"/>
      <w:r w:rsidRPr="00864B5A">
        <w:rPr>
          <w:rFonts w:ascii="Verdana" w:eastAsia="Bookman Old Style" w:hAnsi="Verdana" w:cs="Bookman Old Style"/>
          <w:bCs/>
          <w:color w:val="auto"/>
        </w:rPr>
        <w:lastRenderedPageBreak/>
        <w:t>Prawo do zachowku przysługuje:</w:t>
      </w:r>
      <w:bookmarkEnd w:id="1"/>
    </w:p>
    <w:p w:rsidR="00864B5A" w:rsidRPr="00864B5A" w:rsidRDefault="00864B5A" w:rsidP="00864B5A">
      <w:pPr>
        <w:numPr>
          <w:ilvl w:val="0"/>
          <w:numId w:val="8"/>
        </w:numPr>
        <w:tabs>
          <w:tab w:val="left" w:pos="175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rodzicom spadkodawcy,</w:t>
      </w:r>
    </w:p>
    <w:p w:rsidR="00864B5A" w:rsidRPr="00864B5A" w:rsidRDefault="00864B5A" w:rsidP="00864B5A">
      <w:pPr>
        <w:numPr>
          <w:ilvl w:val="0"/>
          <w:numId w:val="8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rodzeństwu spadkodawcy,</w:t>
      </w:r>
    </w:p>
    <w:p w:rsidR="00864B5A" w:rsidRPr="00864B5A" w:rsidRDefault="00864B5A" w:rsidP="00864B5A">
      <w:pPr>
        <w:numPr>
          <w:ilvl w:val="0"/>
          <w:numId w:val="8"/>
        </w:numPr>
        <w:tabs>
          <w:tab w:val="left" w:pos="1763"/>
        </w:tabs>
        <w:spacing w:after="42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dziadkom spadkodawcy.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21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" w:name="bookmark5"/>
      <w:r w:rsidRPr="00864B5A">
        <w:rPr>
          <w:rFonts w:ascii="Verdana" w:eastAsia="Bookman Old Style" w:hAnsi="Verdana" w:cs="Bookman Old Style"/>
          <w:bCs/>
          <w:color w:val="auto"/>
        </w:rPr>
        <w:t>Oświadczenie o przyjęciu bądź odrzuceniu spadku może być złożone:</w:t>
      </w:r>
      <w:bookmarkEnd w:id="2"/>
    </w:p>
    <w:p w:rsidR="00864B5A" w:rsidRPr="00864B5A" w:rsidRDefault="00864B5A" w:rsidP="00864B5A">
      <w:pPr>
        <w:numPr>
          <w:ilvl w:val="0"/>
          <w:numId w:val="9"/>
        </w:numPr>
        <w:tabs>
          <w:tab w:val="left" w:pos="17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przez spadkobiercę w ciągu roku od otwarcia spadku,</w:t>
      </w:r>
    </w:p>
    <w:p w:rsidR="00864B5A" w:rsidRPr="00864B5A" w:rsidRDefault="00864B5A" w:rsidP="00864B5A">
      <w:pPr>
        <w:numPr>
          <w:ilvl w:val="0"/>
          <w:numId w:val="9"/>
        </w:numPr>
        <w:tabs>
          <w:tab w:val="left" w:pos="17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 ciągu 6 miesięcy od dowiedzenia się przez spadkobiercę o tytule swojego powołania,</w:t>
      </w:r>
    </w:p>
    <w:p w:rsidR="00864B5A" w:rsidRPr="00864B5A" w:rsidRDefault="00864B5A" w:rsidP="00864B5A">
      <w:pPr>
        <w:numPr>
          <w:ilvl w:val="0"/>
          <w:numId w:val="9"/>
        </w:numPr>
        <w:tabs>
          <w:tab w:val="left" w:pos="1782"/>
        </w:tabs>
        <w:spacing w:after="416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 jest ograniczone żadnym terminem.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21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3" w:name="bookmark6"/>
      <w:r w:rsidRPr="00864B5A">
        <w:rPr>
          <w:rFonts w:ascii="Verdana" w:eastAsia="Bookman Old Style" w:hAnsi="Verdana" w:cs="Bookman Old Style"/>
          <w:bCs/>
          <w:color w:val="auto"/>
        </w:rPr>
        <w:t>Zrzec się dziedziczenia po spadkodawcy można:</w:t>
      </w:r>
      <w:bookmarkEnd w:id="3"/>
    </w:p>
    <w:p w:rsidR="00864B5A" w:rsidRPr="00864B5A" w:rsidRDefault="00864B5A" w:rsidP="00864B5A">
      <w:pPr>
        <w:numPr>
          <w:ilvl w:val="0"/>
          <w:numId w:val="10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 formie pisemnej,</w:t>
      </w:r>
    </w:p>
    <w:p w:rsidR="00864B5A" w:rsidRPr="00864B5A" w:rsidRDefault="00864B5A" w:rsidP="00864B5A">
      <w:pPr>
        <w:numPr>
          <w:ilvl w:val="0"/>
          <w:numId w:val="10"/>
        </w:numPr>
        <w:tabs>
          <w:tab w:val="left" w:pos="177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tylko za jego życia,</w:t>
      </w:r>
    </w:p>
    <w:p w:rsidR="00864B5A" w:rsidRPr="00864B5A" w:rsidRDefault="00864B5A" w:rsidP="00864B5A">
      <w:pPr>
        <w:numPr>
          <w:ilvl w:val="0"/>
          <w:numId w:val="10"/>
        </w:numPr>
        <w:tabs>
          <w:tab w:val="left" w:pos="177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 można, gdyż taka czynność jest bezwzględnie nieważna.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4" w:name="bookmark7"/>
      <w:r w:rsidRPr="00864B5A">
        <w:rPr>
          <w:rFonts w:ascii="Verdana" w:eastAsia="Bookman Old Style" w:hAnsi="Verdana" w:cs="Bookman Old Style"/>
          <w:bCs/>
          <w:color w:val="auto"/>
        </w:rPr>
        <w:t>W przypadku wytoczenia powództwa przeciwko osobie nieżyjącej sąd:</w:t>
      </w:r>
      <w:bookmarkEnd w:id="4"/>
    </w:p>
    <w:p w:rsidR="00864B5A" w:rsidRPr="00864B5A" w:rsidRDefault="00864B5A" w:rsidP="00864B5A">
      <w:pPr>
        <w:numPr>
          <w:ilvl w:val="0"/>
          <w:numId w:val="11"/>
        </w:numPr>
        <w:tabs>
          <w:tab w:val="left" w:pos="175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odrzuci pozew,</w:t>
      </w:r>
    </w:p>
    <w:p w:rsidR="00864B5A" w:rsidRPr="00864B5A" w:rsidRDefault="00864B5A" w:rsidP="00864B5A">
      <w:pPr>
        <w:numPr>
          <w:ilvl w:val="0"/>
          <w:numId w:val="11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zawiesi postępowanie,</w:t>
      </w:r>
    </w:p>
    <w:p w:rsidR="00864B5A" w:rsidRPr="00864B5A" w:rsidRDefault="00864B5A" w:rsidP="00864B5A">
      <w:pPr>
        <w:numPr>
          <w:ilvl w:val="0"/>
          <w:numId w:val="11"/>
        </w:numPr>
        <w:tabs>
          <w:tab w:val="left" w:pos="1763"/>
        </w:tabs>
        <w:spacing w:after="372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zwróci pozew.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5" w:name="bookmark8"/>
      <w:r w:rsidRPr="00864B5A">
        <w:rPr>
          <w:rFonts w:ascii="Verdana" w:eastAsia="Bookman Old Style" w:hAnsi="Verdana" w:cs="Bookman Old Style"/>
          <w:bCs/>
          <w:color w:val="auto"/>
        </w:rPr>
        <w:t>Sprawa o zapobieganie i zwalczanie nieuczciwej konkurencji podlega rozpoznaniu:</w:t>
      </w:r>
      <w:bookmarkEnd w:id="5"/>
    </w:p>
    <w:p w:rsidR="00864B5A" w:rsidRPr="00864B5A" w:rsidRDefault="00864B5A" w:rsidP="00864B5A">
      <w:pPr>
        <w:numPr>
          <w:ilvl w:val="0"/>
          <w:numId w:val="12"/>
        </w:numPr>
        <w:tabs>
          <w:tab w:val="left" w:pos="175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zawsze przez sąd rejonowy,</w:t>
      </w:r>
    </w:p>
    <w:p w:rsidR="00864B5A" w:rsidRPr="00864B5A" w:rsidRDefault="00864B5A" w:rsidP="00864B5A">
      <w:pPr>
        <w:numPr>
          <w:ilvl w:val="0"/>
          <w:numId w:val="12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zawsze przez sąd okręgowy,</w:t>
      </w:r>
    </w:p>
    <w:p w:rsidR="00864B5A" w:rsidRPr="00864B5A" w:rsidRDefault="00864B5A" w:rsidP="00864B5A">
      <w:pPr>
        <w:numPr>
          <w:ilvl w:val="0"/>
          <w:numId w:val="12"/>
        </w:numPr>
        <w:tabs>
          <w:tab w:val="left" w:pos="1763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przez sąd rejonowy, lecz tylko jeżeli wartość przedmiotu sporu nie przewyższa 75.000,00 złotych.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53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6" w:name="bookmark9"/>
      <w:r w:rsidRPr="00864B5A">
        <w:rPr>
          <w:rFonts w:ascii="Verdana" w:eastAsia="Bookman Old Style" w:hAnsi="Verdana" w:cs="Bookman Old Style"/>
          <w:bCs/>
          <w:color w:val="auto"/>
        </w:rPr>
        <w:t>Z właściwością miejscową wyłączną sądu mamy do czynienia w przypadku:</w:t>
      </w:r>
      <w:bookmarkEnd w:id="6"/>
    </w:p>
    <w:p w:rsidR="00864B5A" w:rsidRPr="00864B5A" w:rsidRDefault="00864B5A" w:rsidP="00864B5A">
      <w:pPr>
        <w:numPr>
          <w:ilvl w:val="0"/>
          <w:numId w:val="13"/>
        </w:numPr>
        <w:tabs>
          <w:tab w:val="left" w:pos="175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powództwa o uznanie spadkobiercy za niegodnego dziedziczenia,</w:t>
      </w:r>
    </w:p>
    <w:p w:rsidR="00864B5A" w:rsidRPr="00864B5A" w:rsidRDefault="00864B5A" w:rsidP="00864B5A">
      <w:pPr>
        <w:numPr>
          <w:ilvl w:val="0"/>
          <w:numId w:val="13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powództwa przeciwko zobowiązanemu z czeku,</w:t>
      </w:r>
    </w:p>
    <w:p w:rsidR="00864B5A" w:rsidRPr="00864B5A" w:rsidRDefault="00864B5A" w:rsidP="00864B5A">
      <w:pPr>
        <w:numPr>
          <w:ilvl w:val="0"/>
          <w:numId w:val="13"/>
        </w:numPr>
        <w:tabs>
          <w:tab w:val="left" w:pos="1763"/>
        </w:tabs>
        <w:spacing w:after="376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powództwa o roszczenie ze stosunku dzierżawy.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53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7" w:name="bookmark10"/>
      <w:r w:rsidRPr="00864B5A">
        <w:rPr>
          <w:rFonts w:ascii="Verdana" w:eastAsia="Bookman Old Style" w:hAnsi="Verdana" w:cs="Bookman Old Style"/>
          <w:bCs/>
          <w:color w:val="auto"/>
        </w:rPr>
        <w:t>Pozew, który ostatecznie nie został należycie opłacony:</w:t>
      </w:r>
      <w:bookmarkEnd w:id="7"/>
    </w:p>
    <w:p w:rsidR="00864B5A" w:rsidRPr="00864B5A" w:rsidRDefault="00864B5A" w:rsidP="00864B5A">
      <w:pPr>
        <w:numPr>
          <w:ilvl w:val="0"/>
          <w:numId w:val="14"/>
        </w:numPr>
        <w:tabs>
          <w:tab w:val="left" w:pos="175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odrzuca się,</w:t>
      </w:r>
    </w:p>
    <w:p w:rsidR="00864B5A" w:rsidRPr="00864B5A" w:rsidRDefault="00864B5A" w:rsidP="00864B5A">
      <w:pPr>
        <w:numPr>
          <w:ilvl w:val="0"/>
          <w:numId w:val="14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zwraca się,</w:t>
      </w:r>
    </w:p>
    <w:p w:rsidR="00864B5A" w:rsidRDefault="00864B5A" w:rsidP="00864B5A">
      <w:pPr>
        <w:numPr>
          <w:ilvl w:val="0"/>
          <w:numId w:val="14"/>
        </w:numPr>
        <w:tabs>
          <w:tab w:val="left" w:pos="1763"/>
        </w:tabs>
        <w:spacing w:after="352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podlega oddaleniu.</w:t>
      </w:r>
    </w:p>
    <w:p w:rsidR="00864B5A" w:rsidRPr="00864B5A" w:rsidRDefault="00864B5A" w:rsidP="00864B5A">
      <w:pPr>
        <w:tabs>
          <w:tab w:val="left" w:pos="1763"/>
        </w:tabs>
        <w:spacing w:after="352" w:line="276" w:lineRule="auto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8" w:name="bookmark11"/>
      <w:r w:rsidRPr="00864B5A">
        <w:rPr>
          <w:rFonts w:ascii="Verdana" w:eastAsia="Bookman Old Style" w:hAnsi="Verdana" w:cs="Bookman Old Style"/>
          <w:bCs/>
          <w:color w:val="auto"/>
        </w:rPr>
        <w:lastRenderedPageBreak/>
        <w:t>Termin do uzupełnienia braków formalnych pisma procesowego ma charakter:</w:t>
      </w:r>
      <w:bookmarkEnd w:id="8"/>
    </w:p>
    <w:p w:rsidR="00864B5A" w:rsidRPr="00864B5A" w:rsidRDefault="00864B5A" w:rsidP="00864B5A">
      <w:pPr>
        <w:numPr>
          <w:ilvl w:val="0"/>
          <w:numId w:val="15"/>
        </w:numPr>
        <w:tabs>
          <w:tab w:val="left" w:pos="175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ustawowy,</w:t>
      </w:r>
    </w:p>
    <w:p w:rsidR="00864B5A" w:rsidRPr="00864B5A" w:rsidRDefault="00864B5A" w:rsidP="00864B5A">
      <w:pPr>
        <w:numPr>
          <w:ilvl w:val="0"/>
          <w:numId w:val="15"/>
        </w:numPr>
        <w:tabs>
          <w:tab w:val="left" w:pos="17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sądowy,</w:t>
      </w:r>
    </w:p>
    <w:p w:rsidR="00864B5A" w:rsidRPr="00864B5A" w:rsidRDefault="00864B5A" w:rsidP="00864B5A">
      <w:pPr>
        <w:numPr>
          <w:ilvl w:val="0"/>
          <w:numId w:val="15"/>
        </w:numPr>
        <w:tabs>
          <w:tab w:val="left" w:pos="1763"/>
        </w:tabs>
        <w:spacing w:after="53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instrukcyjny.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8"/>
        </w:tabs>
        <w:spacing w:after="178"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9" w:name="bookmark12"/>
      <w:r w:rsidRPr="00864B5A">
        <w:rPr>
          <w:rFonts w:ascii="Verdana" w:eastAsia="Bookman Old Style" w:hAnsi="Verdana" w:cs="Bookman Old Style"/>
          <w:bCs/>
          <w:color w:val="auto"/>
        </w:rPr>
        <w:t>Postanowienie o nadaniu wyrokowi klauzuli wykonalności:</w:t>
      </w:r>
      <w:bookmarkEnd w:id="9"/>
    </w:p>
    <w:p w:rsidR="00864B5A" w:rsidRPr="00864B5A" w:rsidRDefault="00864B5A" w:rsidP="00864B5A">
      <w:pPr>
        <w:numPr>
          <w:ilvl w:val="0"/>
          <w:numId w:val="16"/>
        </w:numPr>
        <w:tabs>
          <w:tab w:val="left" w:pos="1768"/>
        </w:tabs>
        <w:spacing w:after="178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zapaść tylko na posiedzeniu jawnym,</w:t>
      </w:r>
    </w:p>
    <w:p w:rsidR="00864B5A" w:rsidRPr="00864B5A" w:rsidRDefault="00864B5A" w:rsidP="00864B5A">
      <w:pPr>
        <w:numPr>
          <w:ilvl w:val="0"/>
          <w:numId w:val="16"/>
        </w:numPr>
        <w:tabs>
          <w:tab w:val="left" w:pos="1787"/>
        </w:tabs>
        <w:spacing w:after="183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zapaść na posiedzeniu niejawnym,</w:t>
      </w:r>
    </w:p>
    <w:p w:rsidR="00864B5A" w:rsidRPr="00864B5A" w:rsidRDefault="00864B5A" w:rsidP="00864B5A">
      <w:pPr>
        <w:numPr>
          <w:ilvl w:val="0"/>
          <w:numId w:val="16"/>
        </w:numPr>
        <w:tabs>
          <w:tab w:val="left" w:pos="1787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zapaść tylko po przeprowadzeniu rozprawy.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0" w:name="bookmark13"/>
      <w:r w:rsidRPr="00864B5A">
        <w:rPr>
          <w:rFonts w:ascii="Verdana" w:eastAsia="Bookman Old Style" w:hAnsi="Verdana" w:cs="Bookman Old Style"/>
          <w:bCs/>
          <w:color w:val="auto"/>
        </w:rPr>
        <w:t>Jeżeli stroną procesu jest Skarb Państwa:</w:t>
      </w:r>
      <w:bookmarkEnd w:id="10"/>
    </w:p>
    <w:p w:rsidR="00864B5A" w:rsidRPr="00864B5A" w:rsidRDefault="00864B5A" w:rsidP="00864B5A">
      <w:pPr>
        <w:numPr>
          <w:ilvl w:val="0"/>
          <w:numId w:val="17"/>
        </w:numPr>
        <w:tabs>
          <w:tab w:val="left" w:pos="17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doręczeń dokonuje się ustanowionemu pełnomocnikowi tej strony,</w:t>
      </w:r>
    </w:p>
    <w:p w:rsidR="00864B5A" w:rsidRPr="00864B5A" w:rsidRDefault="00864B5A" w:rsidP="00864B5A">
      <w:pPr>
        <w:numPr>
          <w:ilvl w:val="0"/>
          <w:numId w:val="17"/>
        </w:numPr>
        <w:tabs>
          <w:tab w:val="left" w:pos="17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doręczeń dokonuje się organowi jednostki organizacyjnej Skarbu Państwa, z której działalnością wiąże się dochodzone roszczenie,</w:t>
      </w:r>
    </w:p>
    <w:p w:rsidR="00864B5A" w:rsidRPr="00864B5A" w:rsidRDefault="00864B5A" w:rsidP="00864B5A">
      <w:pPr>
        <w:numPr>
          <w:ilvl w:val="0"/>
          <w:numId w:val="17"/>
        </w:numPr>
        <w:tabs>
          <w:tab w:val="left" w:pos="1782"/>
        </w:tabs>
        <w:spacing w:after="526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doręczeń dokonuje się zawsze Prokuratorii Generalnej Skarbu Państwa.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1" w:name="bookmark14"/>
      <w:r w:rsidRPr="00864B5A">
        <w:rPr>
          <w:rFonts w:ascii="Verdana" w:eastAsia="Bookman Old Style" w:hAnsi="Verdana" w:cs="Bookman Old Style"/>
          <w:bCs/>
          <w:color w:val="auto"/>
        </w:rPr>
        <w:t>Powództwo wzajemne jest dopuszczalne:</w:t>
      </w:r>
      <w:bookmarkEnd w:id="11"/>
    </w:p>
    <w:p w:rsidR="00864B5A" w:rsidRPr="00864B5A" w:rsidRDefault="00864B5A" w:rsidP="00864B5A">
      <w:pPr>
        <w:numPr>
          <w:ilvl w:val="0"/>
          <w:numId w:val="18"/>
        </w:numPr>
        <w:tabs>
          <w:tab w:val="left" w:pos="17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 sprawie o ustalenie ojcostwa,</w:t>
      </w:r>
    </w:p>
    <w:p w:rsidR="00864B5A" w:rsidRPr="00864B5A" w:rsidRDefault="00864B5A" w:rsidP="00864B5A">
      <w:pPr>
        <w:numPr>
          <w:ilvl w:val="0"/>
          <w:numId w:val="18"/>
        </w:numPr>
        <w:tabs>
          <w:tab w:val="left" w:pos="17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 sprawie o roszczenie powyżej 75.000,00 zł,</w:t>
      </w:r>
    </w:p>
    <w:p w:rsidR="00864B5A" w:rsidRPr="00864B5A" w:rsidRDefault="00864B5A" w:rsidP="00864B5A">
      <w:pPr>
        <w:numPr>
          <w:ilvl w:val="0"/>
          <w:numId w:val="18"/>
        </w:numPr>
        <w:tabs>
          <w:tab w:val="left" w:pos="1782"/>
        </w:tabs>
        <w:spacing w:after="364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 sprawie o naruszenie posiadania.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284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2" w:name="bookmark15"/>
      <w:r w:rsidRPr="00864B5A">
        <w:rPr>
          <w:rFonts w:ascii="Verdana" w:eastAsia="Bookman Old Style" w:hAnsi="Verdana" w:cs="Bookman Old Style"/>
          <w:bCs/>
          <w:color w:val="auto"/>
        </w:rPr>
        <w:t>Skargę na czynność komornika wniesioną po upływie przepisanego terminu:</w:t>
      </w:r>
      <w:bookmarkEnd w:id="12"/>
    </w:p>
    <w:p w:rsidR="00864B5A" w:rsidRPr="00864B5A" w:rsidRDefault="00864B5A" w:rsidP="00864B5A">
      <w:pPr>
        <w:numPr>
          <w:ilvl w:val="0"/>
          <w:numId w:val="19"/>
        </w:numPr>
        <w:tabs>
          <w:tab w:val="left" w:pos="17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sąd oddala,</w:t>
      </w:r>
    </w:p>
    <w:p w:rsidR="00864B5A" w:rsidRPr="00864B5A" w:rsidRDefault="00864B5A" w:rsidP="00864B5A">
      <w:pPr>
        <w:numPr>
          <w:ilvl w:val="0"/>
          <w:numId w:val="19"/>
        </w:numPr>
        <w:tabs>
          <w:tab w:val="left" w:pos="17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przewodniczący posiedzenia zwraca,</w:t>
      </w:r>
    </w:p>
    <w:p w:rsidR="00864B5A" w:rsidRPr="00864B5A" w:rsidRDefault="00864B5A" w:rsidP="00864B5A">
      <w:pPr>
        <w:numPr>
          <w:ilvl w:val="0"/>
          <w:numId w:val="19"/>
        </w:numPr>
        <w:tabs>
          <w:tab w:val="left" w:pos="1782"/>
        </w:tabs>
        <w:spacing w:after="1241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sąd odrzuca.</w:t>
      </w:r>
    </w:p>
    <w:p w:rsidR="00864B5A" w:rsidRPr="00864B5A" w:rsidRDefault="00864B5A" w:rsidP="00864B5A">
      <w:pPr>
        <w:keepNext/>
        <w:keepLines/>
        <w:spacing w:after="418" w:line="276" w:lineRule="auto"/>
        <w:ind w:left="709"/>
        <w:rPr>
          <w:rFonts w:ascii="Verdana" w:hAnsi="Verdana"/>
          <w:b/>
        </w:rPr>
      </w:pPr>
      <w:bookmarkStart w:id="13" w:name="bookmark16"/>
      <w:r w:rsidRPr="00864B5A">
        <w:rPr>
          <w:rFonts w:ascii="Verdana" w:hAnsi="Verdana"/>
        </w:rPr>
        <w:t>Część II - pytania z zakresu prawa karnego oraz postępowania karnego</w:t>
      </w:r>
      <w:bookmarkEnd w:id="13"/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8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4" w:name="bookmark17"/>
      <w:r w:rsidRPr="00864B5A">
        <w:rPr>
          <w:rFonts w:ascii="Verdana" w:eastAsia="Bookman Old Style" w:hAnsi="Verdana" w:cs="Bookman Old Style"/>
          <w:bCs/>
          <w:color w:val="auto"/>
        </w:rPr>
        <w:t>Instytucja czynnego żalu, uregulowana w części ogólnej kodeksu karnego polega na:</w:t>
      </w:r>
      <w:bookmarkEnd w:id="14"/>
    </w:p>
    <w:p w:rsidR="00864B5A" w:rsidRPr="00864B5A" w:rsidRDefault="00864B5A" w:rsidP="00864B5A">
      <w:pPr>
        <w:numPr>
          <w:ilvl w:val="0"/>
          <w:numId w:val="20"/>
        </w:numPr>
        <w:tabs>
          <w:tab w:val="left" w:pos="1368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Przeproszeniu pokrzywdzonego przez sprawcę za popełnione przestępstwo na etapie postępowania przygotowawczego, co ma następnie wpływ na niższy wymiar kary,</w:t>
      </w:r>
    </w:p>
    <w:p w:rsidR="00864B5A" w:rsidRPr="00864B5A" w:rsidRDefault="00864B5A" w:rsidP="00864B5A">
      <w:pPr>
        <w:numPr>
          <w:ilvl w:val="0"/>
          <w:numId w:val="20"/>
        </w:numPr>
        <w:tabs>
          <w:tab w:val="left" w:pos="1382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 xml:space="preserve">Współpracy sprawcy z organami ścigania, celem ujęcia wszystkich </w:t>
      </w:r>
      <w:r w:rsidRPr="00864B5A">
        <w:rPr>
          <w:rFonts w:ascii="Verdana" w:eastAsia="Bookman Old Style" w:hAnsi="Verdana" w:cs="Bookman Old Style"/>
          <w:color w:val="auto"/>
        </w:rPr>
        <w:lastRenderedPageBreak/>
        <w:t>pozostałych osób, które wspólnie i w porozumieniu popełniły przestępstwo,</w:t>
      </w:r>
    </w:p>
    <w:p w:rsidR="00864B5A" w:rsidRPr="00864B5A" w:rsidRDefault="00864B5A" w:rsidP="00864B5A">
      <w:pPr>
        <w:numPr>
          <w:ilvl w:val="0"/>
          <w:numId w:val="20"/>
        </w:numPr>
        <w:tabs>
          <w:tab w:val="left" w:pos="1382"/>
        </w:tabs>
        <w:spacing w:after="360"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Dobrowolnym odstąpieniu od dokonania lub zapobiegnięciu skutkowi stanowiącemu znamię czynu zabronionego.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7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5" w:name="bookmark18"/>
      <w:r w:rsidRPr="00864B5A">
        <w:rPr>
          <w:rFonts w:ascii="Verdana" w:eastAsia="Bookman Old Style" w:hAnsi="Verdana" w:cs="Bookman Old Style"/>
          <w:bCs/>
          <w:color w:val="auto"/>
        </w:rPr>
        <w:t>Kara śmierci w polskim porządku prawnym:</w:t>
      </w:r>
      <w:bookmarkEnd w:id="15"/>
    </w:p>
    <w:p w:rsidR="00864B5A" w:rsidRPr="00864B5A" w:rsidRDefault="00864B5A" w:rsidP="00864B5A">
      <w:pPr>
        <w:numPr>
          <w:ilvl w:val="0"/>
          <w:numId w:val="21"/>
        </w:numPr>
        <w:tabs>
          <w:tab w:val="left" w:pos="13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 może być stosowana,</w:t>
      </w:r>
    </w:p>
    <w:p w:rsidR="00864B5A" w:rsidRPr="00864B5A" w:rsidRDefault="00864B5A" w:rsidP="00864B5A">
      <w:pPr>
        <w:numPr>
          <w:ilvl w:val="0"/>
          <w:numId w:val="21"/>
        </w:numPr>
        <w:tabs>
          <w:tab w:val="left" w:pos="1382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zostać wymierzona wyłącznie za popełnienie umyślnego przestępstwa przeciwko życiu i zdrowiu,</w:t>
      </w:r>
    </w:p>
    <w:p w:rsidR="00864B5A" w:rsidRPr="00864B5A" w:rsidRDefault="00864B5A" w:rsidP="00864B5A">
      <w:pPr>
        <w:numPr>
          <w:ilvl w:val="0"/>
          <w:numId w:val="21"/>
        </w:numPr>
        <w:tabs>
          <w:tab w:val="left" w:pos="1354"/>
        </w:tabs>
        <w:spacing w:after="364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zostać wymierzona wyłącznie za popełnienie zbrodni zabójstwa ze szczególnym okrucieństwem.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5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6" w:name="bookmark19"/>
      <w:r w:rsidRPr="00864B5A">
        <w:rPr>
          <w:rFonts w:ascii="Verdana" w:eastAsia="Bookman Old Style" w:hAnsi="Verdana" w:cs="Bookman Old Style"/>
          <w:bCs/>
          <w:color w:val="auto"/>
        </w:rPr>
        <w:t>Jeżeli sprawca w czasie popełnienia przestępstwa przeciwko bezpieczeństwu w komunikacji był w stanie nietrzeźwości:</w:t>
      </w:r>
      <w:bookmarkEnd w:id="16"/>
    </w:p>
    <w:p w:rsidR="00864B5A" w:rsidRPr="00864B5A" w:rsidRDefault="00864B5A" w:rsidP="00864B5A">
      <w:pPr>
        <w:numPr>
          <w:ilvl w:val="0"/>
          <w:numId w:val="22"/>
        </w:numPr>
        <w:tabs>
          <w:tab w:val="left" w:pos="13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Sąd może orzec zakaz prowadzenia wszelkich pojazdów mechanicznych na okres od 1 roku do 10 lat,</w:t>
      </w:r>
    </w:p>
    <w:p w:rsidR="00864B5A" w:rsidRPr="00864B5A" w:rsidRDefault="00864B5A" w:rsidP="00864B5A">
      <w:pPr>
        <w:numPr>
          <w:ilvl w:val="0"/>
          <w:numId w:val="22"/>
        </w:numPr>
        <w:tabs>
          <w:tab w:val="left" w:pos="13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Sąd orzeka na okres nie krótszy niż 3 lata zakaz prowadzenia wszelkich pojazdów mechanicznych albo pojazdów określonego rodzaju,</w:t>
      </w:r>
    </w:p>
    <w:p w:rsidR="00864B5A" w:rsidRPr="00864B5A" w:rsidRDefault="00864B5A" w:rsidP="00864B5A">
      <w:pPr>
        <w:numPr>
          <w:ilvl w:val="0"/>
          <w:numId w:val="22"/>
        </w:numPr>
        <w:tabs>
          <w:tab w:val="left" w:pos="1382"/>
        </w:tabs>
        <w:spacing w:after="491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Sąd może orzec zakaz prowadzenia wszelkich pojazdów mechanicznych albo pojazdów określonego rodzaju na okres nie krótszy niż 3 lata.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5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7" w:name="bookmark20"/>
      <w:r w:rsidRPr="00864B5A">
        <w:rPr>
          <w:rFonts w:ascii="Verdana" w:eastAsia="Bookman Old Style" w:hAnsi="Verdana" w:cs="Bookman Old Style"/>
          <w:bCs/>
          <w:color w:val="auto"/>
        </w:rPr>
        <w:t>Wyrok warunkowo umarzający postępowanie karne:</w:t>
      </w:r>
      <w:bookmarkEnd w:id="17"/>
    </w:p>
    <w:p w:rsidR="00864B5A" w:rsidRPr="00864B5A" w:rsidRDefault="00864B5A" w:rsidP="00864B5A">
      <w:pPr>
        <w:numPr>
          <w:ilvl w:val="0"/>
          <w:numId w:val="23"/>
        </w:numPr>
        <w:tabs>
          <w:tab w:val="left" w:pos="13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Polega na wymierzeniu kary pozbawienia wolności z warunkowym zawieszeniem jej wykonania na okres próby,</w:t>
      </w:r>
    </w:p>
    <w:p w:rsidR="00864B5A" w:rsidRPr="00864B5A" w:rsidRDefault="00864B5A" w:rsidP="00864B5A">
      <w:pPr>
        <w:numPr>
          <w:ilvl w:val="0"/>
          <w:numId w:val="23"/>
        </w:numPr>
        <w:tabs>
          <w:tab w:val="left" w:pos="13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Wydawany jest z jednoczesnym zakreśleniem okresu próby, który wynosi od roku do 3 lat i biegnie od uprawomocnienia się orzeczenia</w:t>
      </w:r>
    </w:p>
    <w:p w:rsidR="00864B5A" w:rsidRPr="00864B5A" w:rsidRDefault="00864B5A" w:rsidP="00864B5A">
      <w:pPr>
        <w:numPr>
          <w:ilvl w:val="0"/>
          <w:numId w:val="23"/>
        </w:numPr>
        <w:tabs>
          <w:tab w:val="left" w:pos="1382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Wydawany jest z jednoczesnym zakreśleniem okresu próby, który wynosi od roku do 2 lat i biegnie od ogłoszenia orzeczenia.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5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8" w:name="bookmark21"/>
      <w:r w:rsidRPr="00864B5A">
        <w:rPr>
          <w:rFonts w:ascii="Verdana" w:eastAsia="Bookman Old Style" w:hAnsi="Verdana" w:cs="Bookman Old Style"/>
          <w:bCs/>
          <w:color w:val="auto"/>
        </w:rPr>
        <w:t>Skazanego na karę ograniczenia wolności, sąd może zwolnić od reszty kary, uznając ją za wykonaną:</w:t>
      </w:r>
      <w:bookmarkEnd w:id="18"/>
    </w:p>
    <w:p w:rsidR="00864B5A" w:rsidRPr="00864B5A" w:rsidRDefault="00864B5A" w:rsidP="00864B5A">
      <w:pPr>
        <w:numPr>
          <w:ilvl w:val="0"/>
          <w:numId w:val="24"/>
        </w:numPr>
        <w:tabs>
          <w:tab w:val="left" w:pos="13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gdy skazany odbył przynajmniej 2/3 orzeczonej kary, jak również wykonał nałożone na niego obowiązki</w:t>
      </w:r>
    </w:p>
    <w:p w:rsidR="00864B5A" w:rsidRPr="00864B5A" w:rsidRDefault="00864B5A" w:rsidP="00864B5A">
      <w:pPr>
        <w:numPr>
          <w:ilvl w:val="0"/>
          <w:numId w:val="24"/>
        </w:numPr>
        <w:tabs>
          <w:tab w:val="left" w:pos="13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gdy skazany odbył przynajmniej 1/4 orzeczonej kary,</w:t>
      </w:r>
    </w:p>
    <w:p w:rsidR="00864B5A" w:rsidRPr="00864B5A" w:rsidRDefault="00864B5A" w:rsidP="00864B5A">
      <w:pPr>
        <w:numPr>
          <w:ilvl w:val="0"/>
          <w:numId w:val="24"/>
        </w:numPr>
        <w:tabs>
          <w:tab w:val="left" w:pos="1382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gdy skazany odbył przynajmniej połowę orzeczonej kary, przy czym przestrzegał porządku prawnego i sumiennie wykonał wskazaną pracę.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5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19" w:name="bookmark22"/>
      <w:r w:rsidRPr="00864B5A">
        <w:rPr>
          <w:rFonts w:ascii="Verdana" w:eastAsia="Bookman Old Style" w:hAnsi="Verdana" w:cs="Bookman Old Style"/>
          <w:bCs/>
          <w:color w:val="auto"/>
        </w:rPr>
        <w:t>Występek oszustwa opisany w art. 286 § 1 kk:</w:t>
      </w:r>
      <w:bookmarkEnd w:id="19"/>
    </w:p>
    <w:p w:rsidR="00864B5A" w:rsidRPr="00864B5A" w:rsidRDefault="00864B5A" w:rsidP="00864B5A">
      <w:pPr>
        <w:numPr>
          <w:ilvl w:val="0"/>
          <w:numId w:val="25"/>
        </w:numPr>
        <w:tabs>
          <w:tab w:val="left" w:pos="1368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Można popełnić wyłącznie umyślnie z zamiarem bezpośrednim,</w:t>
      </w:r>
    </w:p>
    <w:p w:rsidR="00864B5A" w:rsidRPr="00864B5A" w:rsidRDefault="00864B5A" w:rsidP="00864B5A">
      <w:pPr>
        <w:numPr>
          <w:ilvl w:val="0"/>
          <w:numId w:val="25"/>
        </w:numPr>
        <w:tabs>
          <w:tab w:val="left" w:pos="138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Można popełnić nieumyślnie,</w:t>
      </w:r>
    </w:p>
    <w:p w:rsidR="00864B5A" w:rsidRDefault="00864B5A" w:rsidP="00864B5A">
      <w:pPr>
        <w:numPr>
          <w:ilvl w:val="0"/>
          <w:numId w:val="25"/>
        </w:numPr>
        <w:tabs>
          <w:tab w:val="left" w:pos="1382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Można popełnić zarówno umyślnie, jak i nieumyślnie.</w:t>
      </w:r>
    </w:p>
    <w:p w:rsidR="00864B5A" w:rsidRDefault="00864B5A" w:rsidP="00864B5A">
      <w:pPr>
        <w:tabs>
          <w:tab w:val="left" w:pos="1382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tabs>
          <w:tab w:val="left" w:pos="1382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52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0" w:name="bookmark23"/>
      <w:r w:rsidRPr="00864B5A">
        <w:rPr>
          <w:rFonts w:ascii="Verdana" w:eastAsia="Bookman Old Style" w:hAnsi="Verdana" w:cs="Bookman Old Style"/>
          <w:bCs/>
          <w:color w:val="auto"/>
        </w:rPr>
        <w:t>Podstawową zasadą określoną w kodeksie karnym jest odpowiedzialność karna osoby, która:</w:t>
      </w:r>
      <w:bookmarkEnd w:id="20"/>
    </w:p>
    <w:p w:rsidR="00864B5A" w:rsidRPr="00864B5A" w:rsidRDefault="00864B5A" w:rsidP="00864B5A">
      <w:pPr>
        <w:numPr>
          <w:ilvl w:val="0"/>
          <w:numId w:val="26"/>
        </w:numPr>
        <w:tabs>
          <w:tab w:val="left" w:pos="133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Popełnia czyn zabroniony po ukończeniu 17 lat,</w:t>
      </w:r>
    </w:p>
    <w:p w:rsidR="00864B5A" w:rsidRPr="00864B5A" w:rsidRDefault="00864B5A" w:rsidP="00864B5A">
      <w:pPr>
        <w:numPr>
          <w:ilvl w:val="0"/>
          <w:numId w:val="26"/>
        </w:numPr>
        <w:tabs>
          <w:tab w:val="left" w:pos="133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pełnoletnia,</w:t>
      </w:r>
    </w:p>
    <w:p w:rsidR="00864B5A" w:rsidRPr="00864B5A" w:rsidRDefault="00864B5A" w:rsidP="00864B5A">
      <w:pPr>
        <w:numPr>
          <w:ilvl w:val="0"/>
          <w:numId w:val="26"/>
        </w:numPr>
        <w:tabs>
          <w:tab w:val="left" w:pos="1331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Popełnia czyn zabroniony po ukończeniu 15 lat.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6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1" w:name="bookmark24"/>
      <w:r w:rsidRPr="00864B5A">
        <w:rPr>
          <w:rFonts w:ascii="Verdana" w:eastAsia="Bookman Old Style" w:hAnsi="Verdana" w:cs="Bookman Old Style"/>
          <w:bCs/>
          <w:color w:val="auto"/>
        </w:rPr>
        <w:t>Śmierć oskarżyciela posiłkowego:</w:t>
      </w:r>
      <w:bookmarkEnd w:id="21"/>
    </w:p>
    <w:p w:rsidR="00864B5A" w:rsidRPr="00864B5A" w:rsidRDefault="00864B5A" w:rsidP="00864B5A">
      <w:pPr>
        <w:numPr>
          <w:ilvl w:val="0"/>
          <w:numId w:val="27"/>
        </w:numPr>
        <w:tabs>
          <w:tab w:val="left" w:pos="1346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Powoduje konieczność umorzenia postępowania karnego,</w:t>
      </w:r>
    </w:p>
    <w:p w:rsidR="00864B5A" w:rsidRPr="00864B5A" w:rsidRDefault="00864B5A" w:rsidP="00864B5A">
      <w:pPr>
        <w:numPr>
          <w:ilvl w:val="0"/>
          <w:numId w:val="27"/>
        </w:numPr>
        <w:tabs>
          <w:tab w:val="left" w:pos="1346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 tamuje biegu postępowania; osoby najbliższe mogą przystąpić do postępowania w charakterze oskarżyciela posiłkowego,</w:t>
      </w:r>
    </w:p>
    <w:p w:rsidR="00864B5A" w:rsidRPr="00864B5A" w:rsidRDefault="00864B5A" w:rsidP="00864B5A">
      <w:pPr>
        <w:numPr>
          <w:ilvl w:val="0"/>
          <w:numId w:val="27"/>
        </w:numPr>
        <w:tabs>
          <w:tab w:val="left" w:pos="1346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Tamuje bieg postępowania karnego do czasu przeprowadzenia postępowania o stwierdzenie nabycia spadku po zmarłym.</w:t>
      </w:r>
    </w:p>
    <w:p w:rsidR="00864B5A" w:rsidRPr="00864B5A" w:rsidRDefault="00864B5A" w:rsidP="00864B5A">
      <w:pPr>
        <w:tabs>
          <w:tab w:val="left" w:pos="1346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6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2" w:name="bookmark25"/>
      <w:r w:rsidRPr="00864B5A">
        <w:rPr>
          <w:rFonts w:ascii="Verdana" w:eastAsia="Bookman Old Style" w:hAnsi="Verdana" w:cs="Bookman Old Style"/>
          <w:bCs/>
          <w:color w:val="auto"/>
        </w:rPr>
        <w:t>Obrońcą dla oskarżonego może być:</w:t>
      </w:r>
      <w:bookmarkEnd w:id="22"/>
    </w:p>
    <w:p w:rsidR="00864B5A" w:rsidRPr="00864B5A" w:rsidRDefault="00864B5A" w:rsidP="00864B5A">
      <w:pPr>
        <w:numPr>
          <w:ilvl w:val="0"/>
          <w:numId w:val="28"/>
        </w:numPr>
        <w:tabs>
          <w:tab w:val="left" w:pos="1346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Wyłącznie osoba uprawniona do obrony według przepisów o ustroju adwokatury,</w:t>
      </w:r>
    </w:p>
    <w:p w:rsidR="00864B5A" w:rsidRPr="00864B5A" w:rsidRDefault="00864B5A" w:rsidP="00864B5A">
      <w:pPr>
        <w:numPr>
          <w:ilvl w:val="0"/>
          <w:numId w:val="28"/>
        </w:numPr>
        <w:tabs>
          <w:tab w:val="left" w:pos="1346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Osoba uprawniona do obrońcy według przepisów o ustroju adwokatury, ustawy o radcach prawnych lub ustawy prawo o notariacie,</w:t>
      </w:r>
    </w:p>
    <w:p w:rsidR="00864B5A" w:rsidRPr="00864B5A" w:rsidRDefault="00864B5A" w:rsidP="00864B5A">
      <w:pPr>
        <w:numPr>
          <w:ilvl w:val="0"/>
          <w:numId w:val="28"/>
        </w:numPr>
        <w:tabs>
          <w:tab w:val="left" w:pos="1346"/>
        </w:tabs>
        <w:spacing w:after="360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Osoba uprawniona do obrońcy według przepisów o ustroju adwokatury lub ustawy o radcach prawnych.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6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3" w:name="bookmark26"/>
      <w:r w:rsidRPr="00864B5A">
        <w:rPr>
          <w:rFonts w:ascii="Verdana" w:eastAsia="Bookman Old Style" w:hAnsi="Verdana" w:cs="Bookman Old Style"/>
          <w:bCs/>
          <w:color w:val="auto"/>
        </w:rPr>
        <w:t>Postępowanie mediacyjne:</w:t>
      </w:r>
      <w:bookmarkEnd w:id="23"/>
    </w:p>
    <w:p w:rsidR="00864B5A" w:rsidRPr="00864B5A" w:rsidRDefault="00864B5A" w:rsidP="00864B5A">
      <w:pPr>
        <w:numPr>
          <w:ilvl w:val="0"/>
          <w:numId w:val="29"/>
        </w:numPr>
        <w:tabs>
          <w:tab w:val="left" w:pos="1358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nastąpić wyłącznie z inicjatywy lub za zgodą oskarżonego i pokrzywdzonego,</w:t>
      </w:r>
    </w:p>
    <w:p w:rsidR="00864B5A" w:rsidRPr="00864B5A" w:rsidRDefault="00864B5A" w:rsidP="00864B5A">
      <w:pPr>
        <w:numPr>
          <w:ilvl w:val="0"/>
          <w:numId w:val="29"/>
        </w:numPr>
        <w:tabs>
          <w:tab w:val="left" w:pos="1372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 powinno trwać dłużej niż dwa miesiące,</w:t>
      </w:r>
    </w:p>
    <w:p w:rsidR="00864B5A" w:rsidRPr="00864B5A" w:rsidRDefault="00864B5A" w:rsidP="00864B5A">
      <w:pPr>
        <w:numPr>
          <w:ilvl w:val="0"/>
          <w:numId w:val="29"/>
        </w:numPr>
        <w:tabs>
          <w:tab w:val="left" w:pos="1372"/>
        </w:tabs>
        <w:spacing w:after="491"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prowadzić czynny zawodowo sędzia.</w:t>
      </w:r>
      <w:bookmarkStart w:id="24" w:name="bookmark27"/>
    </w:p>
    <w:p w:rsidR="00864B5A" w:rsidRPr="00864B5A" w:rsidRDefault="00864B5A" w:rsidP="00864B5A">
      <w:pPr>
        <w:numPr>
          <w:ilvl w:val="0"/>
          <w:numId w:val="1"/>
        </w:numPr>
        <w:tabs>
          <w:tab w:val="left" w:pos="1372"/>
        </w:tabs>
        <w:spacing w:after="491" w:line="276" w:lineRule="auto"/>
        <w:ind w:firstLine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Zatarcie skazania polega na:</w:t>
      </w:r>
      <w:bookmarkEnd w:id="24"/>
    </w:p>
    <w:p w:rsidR="00864B5A" w:rsidRPr="00864B5A" w:rsidRDefault="00864B5A" w:rsidP="00864B5A">
      <w:pPr>
        <w:numPr>
          <w:ilvl w:val="0"/>
          <w:numId w:val="30"/>
        </w:numPr>
        <w:tabs>
          <w:tab w:val="left" w:pos="1358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Konieczności wydania wyroku uniewinniającego w przypadku, gdyby zatarcie skazania nastąpiło przez prawomocnym zakończeniem sprawy,</w:t>
      </w:r>
    </w:p>
    <w:p w:rsidR="00864B5A" w:rsidRPr="00864B5A" w:rsidRDefault="00864B5A" w:rsidP="00864B5A">
      <w:pPr>
        <w:numPr>
          <w:ilvl w:val="0"/>
          <w:numId w:val="30"/>
        </w:numPr>
        <w:tabs>
          <w:tab w:val="left" w:pos="1372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Uznaniu skazania za niebyłe oraz na usunięciu wpisu o skazaniu z rejestru skazanych,</w:t>
      </w:r>
    </w:p>
    <w:p w:rsidR="00864B5A" w:rsidRDefault="00864B5A" w:rsidP="00864B5A">
      <w:pPr>
        <w:numPr>
          <w:ilvl w:val="0"/>
          <w:numId w:val="30"/>
        </w:numPr>
        <w:tabs>
          <w:tab w:val="left" w:pos="1372"/>
        </w:tabs>
        <w:spacing w:after="360"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Konieczności umorzenia postępowania karnego wobec ustania karalności przestępstwa.</w:t>
      </w:r>
    </w:p>
    <w:p w:rsidR="00864B5A" w:rsidRPr="00864B5A" w:rsidRDefault="00864B5A" w:rsidP="00864B5A">
      <w:pPr>
        <w:tabs>
          <w:tab w:val="left" w:pos="1372"/>
        </w:tabs>
        <w:spacing w:after="360" w:line="276" w:lineRule="auto"/>
        <w:ind w:left="709" w:right="280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6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5" w:name="bookmark28"/>
      <w:r w:rsidRPr="00864B5A">
        <w:rPr>
          <w:rFonts w:ascii="Verdana" w:eastAsia="Bookman Old Style" w:hAnsi="Verdana" w:cs="Bookman Old Style"/>
          <w:bCs/>
          <w:color w:val="auto"/>
        </w:rPr>
        <w:t>Sąd zarządza wykonanie kary pozbawienia wolności, uprzednio warunkowo zawieszonej jeśli:</w:t>
      </w:r>
      <w:bookmarkEnd w:id="25"/>
    </w:p>
    <w:p w:rsidR="00864B5A" w:rsidRPr="00864B5A" w:rsidRDefault="00864B5A" w:rsidP="00864B5A">
      <w:pPr>
        <w:numPr>
          <w:ilvl w:val="0"/>
          <w:numId w:val="31"/>
        </w:numPr>
        <w:tabs>
          <w:tab w:val="left" w:pos="1358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Jeżeli skazany w okresie próby popełnił przestępstwo umyślnie za które orzeczono prawomocnie karę pozbawienia wolności bez warunkowego zawieszenia j ej wykonania.,</w:t>
      </w:r>
    </w:p>
    <w:p w:rsidR="00864B5A" w:rsidRPr="00864B5A" w:rsidRDefault="00864B5A" w:rsidP="00864B5A">
      <w:pPr>
        <w:numPr>
          <w:ilvl w:val="0"/>
          <w:numId w:val="31"/>
        </w:numPr>
        <w:tabs>
          <w:tab w:val="left" w:pos="1372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Jeżeli skazany w okresie próby uchyla się od uiszczenia grzywny, od dozoru, wykonania nałożonych obowiązków,</w:t>
      </w:r>
    </w:p>
    <w:p w:rsidR="00864B5A" w:rsidRPr="00864B5A" w:rsidRDefault="00864B5A" w:rsidP="00864B5A">
      <w:pPr>
        <w:numPr>
          <w:ilvl w:val="0"/>
          <w:numId w:val="31"/>
        </w:numPr>
        <w:tabs>
          <w:tab w:val="left" w:pos="1330"/>
        </w:tabs>
        <w:spacing w:after="724"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Jeżeli skazany w okresie próby popełnił podobne przestępstwo umyślne, za które orzeczono prawomocnie karę pozbawienia wolności bez warunkowego zawieszenia jej wykonania.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30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6" w:name="bookmark29"/>
      <w:r w:rsidRPr="00864B5A">
        <w:rPr>
          <w:rFonts w:ascii="Verdana" w:eastAsia="Bookman Old Style" w:hAnsi="Verdana" w:cs="Bookman Old Style"/>
          <w:bCs/>
          <w:color w:val="auto"/>
        </w:rPr>
        <w:t>Osoba uprawniona do odmowy złożenia zeznań może oświadczyć, że chce z tego prawa skorzystać:</w:t>
      </w:r>
      <w:bookmarkEnd w:id="26"/>
    </w:p>
    <w:p w:rsidR="00864B5A" w:rsidRPr="00864B5A" w:rsidRDefault="00864B5A" w:rsidP="00864B5A">
      <w:pPr>
        <w:numPr>
          <w:ilvl w:val="0"/>
          <w:numId w:val="32"/>
        </w:numPr>
        <w:tabs>
          <w:tab w:val="left" w:pos="1343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 później niż przez rozpoczęciem pierwszego zeznania w postępowaniu sądowym,</w:t>
      </w:r>
    </w:p>
    <w:p w:rsidR="00864B5A" w:rsidRPr="00864B5A" w:rsidRDefault="00864B5A" w:rsidP="00864B5A">
      <w:pPr>
        <w:numPr>
          <w:ilvl w:val="0"/>
          <w:numId w:val="32"/>
        </w:numPr>
        <w:tabs>
          <w:tab w:val="left" w:pos="1357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Wyłącznie w drodze złożenia pisemnego oświadczenia w terminie 14 dni od daty doręczenia jej odpisu aktu oskarżenia,</w:t>
      </w:r>
    </w:p>
    <w:p w:rsidR="00864B5A" w:rsidRPr="00864B5A" w:rsidRDefault="00864B5A" w:rsidP="00864B5A">
      <w:pPr>
        <w:numPr>
          <w:ilvl w:val="0"/>
          <w:numId w:val="32"/>
        </w:numPr>
        <w:tabs>
          <w:tab w:val="left" w:pos="1357"/>
        </w:tabs>
        <w:spacing w:after="360"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Nie później niż przez rozpoczęciem pierwszego zeznania w postępowaniu przygotowawczym,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30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7" w:name="bookmark30"/>
      <w:r w:rsidRPr="00864B5A">
        <w:rPr>
          <w:rFonts w:ascii="Verdana" w:eastAsia="Bookman Old Style" w:hAnsi="Verdana" w:cs="Bookman Old Style"/>
          <w:bCs/>
          <w:color w:val="auto"/>
        </w:rPr>
        <w:t>Tymczasowe aresztowanie:</w:t>
      </w:r>
      <w:bookmarkEnd w:id="27"/>
    </w:p>
    <w:p w:rsidR="00864B5A" w:rsidRPr="00864B5A" w:rsidRDefault="00864B5A" w:rsidP="00864B5A">
      <w:pPr>
        <w:numPr>
          <w:ilvl w:val="0"/>
          <w:numId w:val="33"/>
        </w:numPr>
        <w:tabs>
          <w:tab w:val="left" w:pos="134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środkiem zabezpieczającym,</w:t>
      </w:r>
    </w:p>
    <w:p w:rsidR="00864B5A" w:rsidRPr="00864B5A" w:rsidRDefault="00864B5A" w:rsidP="00864B5A">
      <w:pPr>
        <w:numPr>
          <w:ilvl w:val="0"/>
          <w:numId w:val="33"/>
        </w:numPr>
        <w:tabs>
          <w:tab w:val="left" w:pos="1357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Może nastąpić wyłącznie na mocy postanowienia sądu,</w:t>
      </w:r>
    </w:p>
    <w:p w:rsidR="00864B5A" w:rsidRPr="00864B5A" w:rsidRDefault="00864B5A" w:rsidP="00864B5A">
      <w:pPr>
        <w:numPr>
          <w:ilvl w:val="0"/>
          <w:numId w:val="33"/>
        </w:numPr>
        <w:tabs>
          <w:tab w:val="left" w:pos="1357"/>
        </w:tabs>
        <w:spacing w:after="360"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W sytuacjach niecierpiących zwłoki może wyjątkowo nastąpić w drodze postanowienia wydane przez prokuratora; w tej sytuacji postanowienie takie wymaga zatwierdzenia przez Sąd w terminie 7 dni od daty jego wydania.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30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8" w:name="bookmark31"/>
      <w:r w:rsidRPr="00864B5A">
        <w:rPr>
          <w:rFonts w:ascii="Verdana" w:eastAsia="Bookman Old Style" w:hAnsi="Verdana" w:cs="Bookman Old Style"/>
          <w:bCs/>
          <w:color w:val="auto"/>
        </w:rPr>
        <w:t>Zastosowanie listu żelaznego w postępowaniu karnym:</w:t>
      </w:r>
      <w:bookmarkEnd w:id="28"/>
    </w:p>
    <w:p w:rsidR="00864B5A" w:rsidRPr="00864B5A" w:rsidRDefault="00864B5A" w:rsidP="00864B5A">
      <w:pPr>
        <w:numPr>
          <w:ilvl w:val="0"/>
          <w:numId w:val="34"/>
        </w:numPr>
        <w:tabs>
          <w:tab w:val="left" w:pos="1330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Polega na wszczęciu ogólnokrajowych poszukiwań za oskarżonym, który się ukrywa,</w:t>
      </w:r>
    </w:p>
    <w:p w:rsidR="00864B5A" w:rsidRPr="00864B5A" w:rsidRDefault="00864B5A" w:rsidP="00864B5A">
      <w:pPr>
        <w:numPr>
          <w:ilvl w:val="0"/>
          <w:numId w:val="34"/>
        </w:numPr>
        <w:tabs>
          <w:tab w:val="left" w:pos="1330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możliwe jeśli oskarżony przebywający za granicą złoży oświadczenie, że stawi się do sądu w oznaczonym terminie pod warunkiem odpowiadania z wolnej stopy,</w:t>
      </w:r>
    </w:p>
    <w:p w:rsidR="00864B5A" w:rsidRDefault="00864B5A" w:rsidP="00864B5A">
      <w:pPr>
        <w:numPr>
          <w:ilvl w:val="0"/>
          <w:numId w:val="34"/>
        </w:numPr>
        <w:tabs>
          <w:tab w:val="left" w:pos="1330"/>
        </w:tabs>
        <w:spacing w:after="360"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możliwe na mocy postanowienia wydanego przez Sąd przez którym toczy się postępowanie.</w:t>
      </w:r>
    </w:p>
    <w:p w:rsidR="00864B5A" w:rsidRPr="00864B5A" w:rsidRDefault="00864B5A" w:rsidP="00864B5A">
      <w:pPr>
        <w:tabs>
          <w:tab w:val="left" w:pos="1330"/>
        </w:tabs>
        <w:spacing w:after="360" w:line="276" w:lineRule="auto"/>
        <w:ind w:right="280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30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29" w:name="bookmark32"/>
      <w:r w:rsidRPr="00864B5A">
        <w:rPr>
          <w:rFonts w:ascii="Verdana" w:eastAsia="Bookman Old Style" w:hAnsi="Verdana" w:cs="Bookman Old Style"/>
          <w:bCs/>
          <w:color w:val="auto"/>
        </w:rPr>
        <w:lastRenderedPageBreak/>
        <w:t>Przewód sądowy:</w:t>
      </w:r>
      <w:bookmarkEnd w:id="29"/>
    </w:p>
    <w:p w:rsidR="00864B5A" w:rsidRPr="00864B5A" w:rsidRDefault="00864B5A" w:rsidP="00864B5A">
      <w:pPr>
        <w:numPr>
          <w:ilvl w:val="0"/>
          <w:numId w:val="35"/>
        </w:numPr>
        <w:tabs>
          <w:tab w:val="left" w:pos="1343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Rozpoczyna się wraz z wniesieniem przez oskarżyciela aktu oskarżenia do Sądu,</w:t>
      </w:r>
    </w:p>
    <w:p w:rsidR="00864B5A" w:rsidRPr="00864B5A" w:rsidRDefault="00864B5A" w:rsidP="00864B5A">
      <w:pPr>
        <w:numPr>
          <w:ilvl w:val="0"/>
          <w:numId w:val="35"/>
        </w:numPr>
        <w:tabs>
          <w:tab w:val="left" w:pos="1357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instytucją zastrzeżoną wyłącznie dla spraw rozpoznawanych w postępowaniu zwyczajnym,</w:t>
      </w:r>
    </w:p>
    <w:p w:rsidR="00864B5A" w:rsidRPr="00864B5A" w:rsidRDefault="00864B5A" w:rsidP="00864B5A">
      <w:pPr>
        <w:numPr>
          <w:ilvl w:val="0"/>
          <w:numId w:val="35"/>
        </w:numPr>
        <w:tabs>
          <w:tab w:val="left" w:pos="1357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Żadna z powyższych odpowiedzi nie jest prawidłowa.</w:t>
      </w:r>
    </w:p>
    <w:p w:rsidR="00864B5A" w:rsidRDefault="00864B5A" w:rsidP="00864B5A">
      <w:pPr>
        <w:tabs>
          <w:tab w:val="left" w:pos="1357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tabs>
          <w:tab w:val="left" w:pos="1357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7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30" w:name="bookmark33"/>
      <w:r w:rsidRPr="00864B5A">
        <w:rPr>
          <w:rFonts w:ascii="Verdana" w:eastAsia="Bookman Old Style" w:hAnsi="Verdana" w:cs="Bookman Old Style"/>
          <w:bCs/>
          <w:color w:val="auto"/>
        </w:rPr>
        <w:t>Wydanie europejskiego nakazu aresztowania:</w:t>
      </w:r>
      <w:bookmarkEnd w:id="30"/>
    </w:p>
    <w:p w:rsidR="00864B5A" w:rsidRPr="00864B5A" w:rsidRDefault="00864B5A" w:rsidP="00864B5A">
      <w:pPr>
        <w:numPr>
          <w:ilvl w:val="0"/>
          <w:numId w:val="36"/>
        </w:numPr>
        <w:tabs>
          <w:tab w:val="left" w:pos="1363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niedopuszczalne, w celu wykonania kary pozbawienia wolności orzeczonej w wymiarze do 6 miesięcy albo innego środka polegającego na pozbawieniu wolności na czas nieprzekraczający 6 miesięcy,</w:t>
      </w:r>
    </w:p>
    <w:p w:rsidR="00864B5A" w:rsidRPr="00864B5A" w:rsidRDefault="00864B5A" w:rsidP="00864B5A">
      <w:pPr>
        <w:numPr>
          <w:ilvl w:val="0"/>
          <w:numId w:val="36"/>
        </w:numPr>
        <w:tabs>
          <w:tab w:val="left" w:pos="1377"/>
        </w:tabs>
        <w:spacing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dopuszczalne w razie podejrzenia, że osoba ścigana może przebywać na terytorium innego państwa członkowskiego Rady Europy,</w:t>
      </w:r>
    </w:p>
    <w:p w:rsidR="00864B5A" w:rsidRPr="00864B5A" w:rsidRDefault="00864B5A" w:rsidP="00864B5A">
      <w:pPr>
        <w:numPr>
          <w:ilvl w:val="0"/>
          <w:numId w:val="36"/>
        </w:numPr>
        <w:tabs>
          <w:tab w:val="left" w:pos="1377"/>
        </w:tabs>
        <w:spacing w:after="360" w:line="276" w:lineRule="auto"/>
        <w:ind w:left="709" w:right="280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Jest dopuszczalne na mocy postanowienia wydanego przez właściwy miejscowo sąd okręgowy.</w:t>
      </w:r>
    </w:p>
    <w:p w:rsidR="00864B5A" w:rsidRPr="00864B5A" w:rsidRDefault="00864B5A" w:rsidP="00864B5A">
      <w:pPr>
        <w:keepNext/>
        <w:keepLines/>
        <w:numPr>
          <w:ilvl w:val="0"/>
          <w:numId w:val="1"/>
        </w:numPr>
        <w:tabs>
          <w:tab w:val="left" w:pos="1347"/>
        </w:tabs>
        <w:spacing w:line="276" w:lineRule="auto"/>
        <w:ind w:left="709"/>
        <w:outlineLvl w:val="2"/>
        <w:rPr>
          <w:rFonts w:ascii="Verdana" w:eastAsia="Bookman Old Style" w:hAnsi="Verdana" w:cs="Bookman Old Style"/>
          <w:bCs/>
          <w:color w:val="auto"/>
        </w:rPr>
      </w:pPr>
      <w:bookmarkStart w:id="31" w:name="bookmark34"/>
      <w:r w:rsidRPr="00864B5A">
        <w:rPr>
          <w:rFonts w:ascii="Verdana" w:eastAsia="Bookman Old Style" w:hAnsi="Verdana" w:cs="Bookman Old Style"/>
          <w:bCs/>
          <w:color w:val="auto"/>
        </w:rPr>
        <w:t>Karalność przestępstwa kradzieży popełnionego w dniu 01 grudnia 2015 roku ustanie w dniu:</w:t>
      </w:r>
      <w:bookmarkEnd w:id="31"/>
    </w:p>
    <w:p w:rsidR="00864B5A" w:rsidRPr="00864B5A" w:rsidRDefault="00864B5A" w:rsidP="00864B5A">
      <w:pPr>
        <w:numPr>
          <w:ilvl w:val="0"/>
          <w:numId w:val="37"/>
        </w:numPr>
        <w:tabs>
          <w:tab w:val="left" w:pos="1363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01 grudnia 2035,</w:t>
      </w:r>
    </w:p>
    <w:p w:rsidR="00864B5A" w:rsidRPr="00864B5A" w:rsidRDefault="00864B5A" w:rsidP="00864B5A">
      <w:pPr>
        <w:numPr>
          <w:ilvl w:val="0"/>
          <w:numId w:val="37"/>
        </w:numPr>
        <w:tabs>
          <w:tab w:val="left" w:pos="1377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01 grudnia 2030,</w:t>
      </w:r>
    </w:p>
    <w:p w:rsidR="00864B5A" w:rsidRPr="00864B5A" w:rsidRDefault="00864B5A" w:rsidP="00864B5A">
      <w:pPr>
        <w:numPr>
          <w:ilvl w:val="0"/>
          <w:numId w:val="37"/>
        </w:numPr>
        <w:tabs>
          <w:tab w:val="left" w:pos="1377"/>
        </w:tabs>
        <w:spacing w:line="276" w:lineRule="auto"/>
        <w:ind w:left="709"/>
        <w:rPr>
          <w:rFonts w:ascii="Verdana" w:eastAsia="Bookman Old Style" w:hAnsi="Verdana" w:cs="Bookman Old Style"/>
          <w:color w:val="auto"/>
        </w:rPr>
      </w:pPr>
      <w:r w:rsidRPr="00864B5A">
        <w:rPr>
          <w:rFonts w:ascii="Verdana" w:eastAsia="Bookman Old Style" w:hAnsi="Verdana" w:cs="Bookman Old Style"/>
          <w:color w:val="auto"/>
        </w:rPr>
        <w:t>01 grudnia 2025.</w:t>
      </w: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Default="00864B5A" w:rsidP="00D572B3">
      <w:pPr>
        <w:pStyle w:val="Podpisobrazu0"/>
        <w:shd w:val="clear" w:color="auto" w:fill="auto"/>
        <w:rPr>
          <w:rFonts w:ascii="Verdana" w:hAnsi="Verdana"/>
        </w:rPr>
      </w:pPr>
    </w:p>
    <w:p w:rsidR="00864B5A" w:rsidRPr="00565625" w:rsidRDefault="00864B5A" w:rsidP="00D572B3">
      <w:pPr>
        <w:pStyle w:val="Podpisobrazu0"/>
        <w:shd w:val="clear" w:color="auto" w:fill="auto"/>
        <w:rPr>
          <w:rFonts w:ascii="Verdana" w:hAnsi="Verdana"/>
          <w:b w:val="0"/>
        </w:rPr>
      </w:pPr>
    </w:p>
    <w:p w:rsidR="00E94454" w:rsidRPr="00565625" w:rsidRDefault="00C46FFB" w:rsidP="00D572B3">
      <w:pPr>
        <w:pStyle w:val="Podpisobrazu0"/>
        <w:shd w:val="clear" w:color="auto" w:fill="auto"/>
        <w:rPr>
          <w:rFonts w:ascii="Verdana" w:hAnsi="Verdana"/>
          <w:b w:val="0"/>
        </w:rPr>
      </w:pPr>
      <w:r w:rsidRPr="00565625">
        <w:rPr>
          <w:rFonts w:ascii="Verdana" w:hAnsi="Verdana"/>
          <w:b w:val="0"/>
        </w:rPr>
        <w:t>Praca pisemna do konkursu nr Kd-111-3/16 na stanowisko asystenta sędziego w Sądzie Rejonowym dla Warszawy-Śródmieścia w Warszawie</w:t>
      </w:r>
    </w:p>
    <w:p w:rsidR="00E94454" w:rsidRPr="009D6A6B" w:rsidRDefault="00E94454">
      <w:pPr>
        <w:rPr>
          <w:rFonts w:ascii="Verdana" w:hAnsi="Verdana"/>
        </w:rPr>
      </w:pPr>
    </w:p>
    <w:p w:rsidR="009D6A6B" w:rsidRDefault="009D6A6B">
      <w:pPr>
        <w:pStyle w:val="Nagwek10"/>
        <w:keepNext/>
        <w:keepLines/>
        <w:shd w:val="clear" w:color="auto" w:fill="auto"/>
        <w:spacing w:before="461" w:after="311" w:line="240" w:lineRule="exact"/>
        <w:rPr>
          <w:rStyle w:val="Nagwek11"/>
          <w:rFonts w:ascii="Verdana" w:hAnsi="Verdana"/>
          <w:b/>
          <w:bCs/>
        </w:rPr>
      </w:pPr>
      <w:bookmarkStart w:id="32" w:name="bookmark0"/>
    </w:p>
    <w:p w:rsidR="00E94454" w:rsidRPr="00565625" w:rsidRDefault="009D6A6B" w:rsidP="009D6A6B">
      <w:pPr>
        <w:pStyle w:val="Nagwek10"/>
        <w:keepNext/>
        <w:keepLines/>
        <w:shd w:val="clear" w:color="auto" w:fill="auto"/>
        <w:spacing w:before="461" w:after="311" w:line="240" w:lineRule="exact"/>
        <w:jc w:val="left"/>
        <w:rPr>
          <w:rFonts w:ascii="Verdana" w:hAnsi="Verdana"/>
        </w:rPr>
      </w:pPr>
      <w:r w:rsidRPr="00565625">
        <w:rPr>
          <w:rStyle w:val="Nagwek11"/>
          <w:rFonts w:ascii="Verdana" w:hAnsi="Verdana"/>
          <w:bCs/>
          <w:u w:val="none"/>
        </w:rPr>
        <w:t>P</w:t>
      </w:r>
      <w:r w:rsidR="00C46FFB" w:rsidRPr="00565625">
        <w:rPr>
          <w:rStyle w:val="Nagwek11"/>
          <w:rFonts w:ascii="Verdana" w:hAnsi="Verdana"/>
          <w:bCs/>
          <w:u w:val="none"/>
        </w:rPr>
        <w:t>rawo cywilne</w:t>
      </w:r>
      <w:bookmarkEnd w:id="32"/>
    </w:p>
    <w:p w:rsidR="00E94454" w:rsidRPr="009D6A6B" w:rsidRDefault="00C46FFB">
      <w:pPr>
        <w:pStyle w:val="Teksttreci20"/>
        <w:shd w:val="clear" w:color="auto" w:fill="auto"/>
        <w:spacing w:before="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Powód Grzegorz Witkowski wniósł samodzielnie pozew przeciwko Ubezpieczalnia S.A. z siedzibą w Warszawie.</w:t>
      </w:r>
    </w:p>
    <w:p w:rsidR="00E94454" w:rsidRPr="009D6A6B" w:rsidRDefault="00C46FFB">
      <w:pPr>
        <w:pStyle w:val="Teksttreci20"/>
        <w:shd w:val="clear" w:color="auto" w:fill="auto"/>
        <w:spacing w:before="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Po doręczeniu odpisu pozwu pozwanej Spółce i wniesieniu przez nią odpowiedzi na pozew przez pełnomocnika procesowego będącego adwokatem, Przewodniczący skierował sprawę na rozprawę w dniu 27 kwietnia 2015 r.</w:t>
      </w:r>
    </w:p>
    <w:p w:rsidR="00E94454" w:rsidRPr="009D6A6B" w:rsidRDefault="00C46FFB">
      <w:pPr>
        <w:pStyle w:val="Teksttreci20"/>
        <w:shd w:val="clear" w:color="auto" w:fill="auto"/>
        <w:spacing w:before="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Na terminie rozprawy powód został wysłuchany informacyjnie, zaś rozprawa uległa odroczeniu.</w:t>
      </w:r>
    </w:p>
    <w:p w:rsidR="00E94454" w:rsidRPr="009D6A6B" w:rsidRDefault="00C46FFB">
      <w:pPr>
        <w:pStyle w:val="Teksttreci20"/>
        <w:shd w:val="clear" w:color="auto" w:fill="auto"/>
        <w:spacing w:before="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W dniu 15 maja 2015 r. powód złożył poza rozprawą pisemne oświadczenie o cofnięciu pozwu bez zrzeczenia się roszczenia i wniósł o umorzenie postępowania.</w:t>
      </w:r>
    </w:p>
    <w:p w:rsidR="00E94454" w:rsidRPr="009D6A6B" w:rsidRDefault="00C46FFB">
      <w:pPr>
        <w:pStyle w:val="Teksttreci20"/>
        <w:shd w:val="clear" w:color="auto" w:fill="auto"/>
        <w:spacing w:before="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Przewodniczący zarządził doręczenie pełnomocnikowi pozwanej odpisu pisma powoda z dnia 15 maja 2015 r., które nastąpiło w dniu 22 maja 2015 r.</w:t>
      </w:r>
    </w:p>
    <w:p w:rsidR="00E94454" w:rsidRPr="009D6A6B" w:rsidRDefault="00C46FFB">
      <w:pPr>
        <w:pStyle w:val="Teksttreci20"/>
        <w:shd w:val="clear" w:color="auto" w:fill="auto"/>
        <w:tabs>
          <w:tab w:val="left" w:pos="2914"/>
          <w:tab w:val="left" w:pos="5837"/>
        </w:tabs>
        <w:spacing w:before="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W dniu 25 maja 2015 r. pełnomocnik pozwanej złożył wniosek o wyrażenie przez Sąd zgody</w:t>
      </w:r>
      <w:r w:rsidRPr="009D6A6B">
        <w:rPr>
          <w:rFonts w:ascii="Verdana" w:hAnsi="Verdana"/>
        </w:rPr>
        <w:tab/>
        <w:t>na złożenie pisma</w:t>
      </w:r>
      <w:r w:rsidRPr="009D6A6B">
        <w:rPr>
          <w:rFonts w:ascii="Verdana" w:hAnsi="Verdana"/>
        </w:rPr>
        <w:tab/>
        <w:t>przygotowawczego w trybie</w:t>
      </w:r>
    </w:p>
    <w:p w:rsidR="00E94454" w:rsidRPr="009D6A6B" w:rsidRDefault="00C46FFB">
      <w:pPr>
        <w:pStyle w:val="Teksttreci20"/>
        <w:shd w:val="clear" w:color="auto" w:fill="auto"/>
        <w:spacing w:before="0"/>
        <w:jc w:val="left"/>
        <w:rPr>
          <w:rFonts w:ascii="Verdana" w:hAnsi="Verdana"/>
        </w:rPr>
      </w:pPr>
      <w:r w:rsidRPr="009D6A6B">
        <w:rPr>
          <w:rFonts w:ascii="Verdana" w:hAnsi="Verdana"/>
        </w:rPr>
        <w:t>art. 207 § 6 k.p.c.</w:t>
      </w:r>
    </w:p>
    <w:p w:rsidR="00E94454" w:rsidRPr="009D6A6B" w:rsidRDefault="00C46FFB">
      <w:pPr>
        <w:pStyle w:val="Teksttreci20"/>
        <w:shd w:val="clear" w:color="auto" w:fill="auto"/>
        <w:spacing w:before="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Sąd wydał postanowienie o zezwoleniu na złożenie pisma przygotowawczego w terminie 7 dni pod rygorem zwrotu pisma, zaś odpis postanowienia został doręczony pełnomocnikowi pozwanej w dniu 01 czerwca 2015 r.</w:t>
      </w:r>
    </w:p>
    <w:p w:rsidR="009D6A6B" w:rsidRDefault="00C46FFB" w:rsidP="009D6A6B">
      <w:pPr>
        <w:pStyle w:val="Teksttreci20"/>
        <w:shd w:val="clear" w:color="auto" w:fill="auto"/>
        <w:spacing w:before="0" w:after="720"/>
        <w:ind w:firstLine="620"/>
        <w:rPr>
          <w:rFonts w:ascii="Verdana" w:hAnsi="Verdana"/>
        </w:rPr>
      </w:pPr>
      <w:r w:rsidRPr="009D6A6B">
        <w:rPr>
          <w:rFonts w:ascii="Verdana" w:hAnsi="Verdana"/>
        </w:rPr>
        <w:t>W dniu 08 czerwca 2015 r. pełnomocnik pozwanej złożył pismo zawierające wyłącznie oświadczenie o braku zgody na cofnięcie pozwu przez powoda.</w:t>
      </w:r>
    </w:p>
    <w:p w:rsidR="00E94454" w:rsidRPr="009D6A6B" w:rsidRDefault="00C46FFB" w:rsidP="009D6A6B">
      <w:pPr>
        <w:pStyle w:val="Teksttreci20"/>
        <w:shd w:val="clear" w:color="auto" w:fill="auto"/>
        <w:spacing w:before="0" w:after="720"/>
        <w:rPr>
          <w:rFonts w:ascii="Verdana" w:hAnsi="Verdana"/>
        </w:rPr>
      </w:pPr>
      <w:r w:rsidRPr="009D6A6B">
        <w:rPr>
          <w:rFonts w:ascii="Verdana" w:hAnsi="Verdana"/>
        </w:rPr>
        <w:t>Proszę przygotować projekt postanowienia Sądu Rejonowego dla Warszawy-Śródmieścia w Warszawie, jego uzasadnienia (nawet jeśli sporządzenia uzasadnienia nie wymagają przepisy procedury cywilnej) oraz zarządzenia o doręczeniu stronom odpisu postanowienia i dokonaniu pouczenia (jeśli wymagają tego przepisy postępowania).</w:t>
      </w:r>
    </w:p>
    <w:p w:rsidR="00E94454" w:rsidRPr="009D6A6B" w:rsidRDefault="00E94454" w:rsidP="00D572B3">
      <w:pPr>
        <w:jc w:val="center"/>
        <w:rPr>
          <w:rFonts w:ascii="Verdana" w:hAnsi="Verdana"/>
        </w:rPr>
      </w:pPr>
    </w:p>
    <w:p w:rsidR="009D6A6B" w:rsidRPr="00565625" w:rsidRDefault="00C46FFB" w:rsidP="00565625">
      <w:pPr>
        <w:pStyle w:val="Podpisobrazu0"/>
        <w:shd w:val="clear" w:color="auto" w:fill="auto"/>
        <w:rPr>
          <w:rStyle w:val="Nagwek11"/>
          <w:rFonts w:ascii="Verdana" w:hAnsi="Verdana"/>
          <w:bCs/>
          <w:u w:val="none"/>
        </w:rPr>
      </w:pPr>
      <w:r w:rsidRPr="00565625">
        <w:rPr>
          <w:rFonts w:ascii="Verdana" w:hAnsi="Verdana"/>
          <w:b w:val="0"/>
        </w:rPr>
        <w:t>Praca pisemna do konkursu nr Kd-111-3/16 na stanowisko asystenta sędziego w Sądzie Rejonowym dla Warszawy-Śródmieścia w Warszawie</w:t>
      </w:r>
      <w:bookmarkStart w:id="33" w:name="bookmark1"/>
      <w:bookmarkStart w:id="34" w:name="_GoBack"/>
      <w:bookmarkEnd w:id="34"/>
    </w:p>
    <w:p w:rsidR="00E94454" w:rsidRPr="00565625" w:rsidRDefault="009D6A6B" w:rsidP="009D6A6B">
      <w:pPr>
        <w:pStyle w:val="Nagwek10"/>
        <w:keepNext/>
        <w:keepLines/>
        <w:shd w:val="clear" w:color="auto" w:fill="auto"/>
        <w:spacing w:before="521" w:after="392" w:line="240" w:lineRule="exact"/>
        <w:jc w:val="left"/>
        <w:rPr>
          <w:rFonts w:ascii="Verdana" w:hAnsi="Verdana"/>
          <w:b w:val="0"/>
        </w:rPr>
      </w:pPr>
      <w:r w:rsidRPr="00565625">
        <w:rPr>
          <w:rStyle w:val="Nagwek11"/>
          <w:rFonts w:ascii="Verdana" w:hAnsi="Verdana"/>
          <w:bCs/>
          <w:u w:val="none"/>
        </w:rPr>
        <w:t>P</w:t>
      </w:r>
      <w:r w:rsidR="00C46FFB" w:rsidRPr="00565625">
        <w:rPr>
          <w:rStyle w:val="Nagwek11"/>
          <w:rFonts w:ascii="Verdana" w:hAnsi="Verdana"/>
          <w:bCs/>
          <w:u w:val="none"/>
        </w:rPr>
        <w:t>rawo karne</w:t>
      </w:r>
      <w:bookmarkEnd w:id="33"/>
    </w:p>
    <w:p w:rsidR="00E94454" w:rsidRPr="009D6A6B" w:rsidRDefault="00C46FFB">
      <w:pPr>
        <w:pStyle w:val="Teksttreci20"/>
        <w:shd w:val="clear" w:color="auto" w:fill="auto"/>
        <w:spacing w:before="0" w:line="422" w:lineRule="exact"/>
        <w:ind w:firstLine="600"/>
        <w:rPr>
          <w:rFonts w:ascii="Verdana" w:hAnsi="Verdana"/>
        </w:rPr>
      </w:pPr>
      <w:r w:rsidRPr="009D6A6B">
        <w:rPr>
          <w:rFonts w:ascii="Verdana" w:hAnsi="Verdana"/>
        </w:rPr>
        <w:t>Jan R. został oskarżony o to, że w dniu 08 grudnia 2015 roku w Warszawie przy ul. Grzybowskiej, przy zbiegu z Al. Jana Pawła II, nie zastosował się do decyzji uprawnionego organu, tj. Prezydenta m. st. Warszawy, który wydał wobec niego w dniu 28 sierpnia 2014 roku decyzję nr 599 cofającą uprawnienia do kierowania pojazdami wynikające z kat. B prawa jazdy oraz w dniu 11 września 2014 roku decyzję nr 631 cofającą uprawnienia do kierowania pojazdami wynikające z kat. A, C, D, BE, CE, DE prawa jazdy, w ten sposób że prowadził w ruchu lądowym na drodze publicznej pojazd mechaniczny, tj. samochód marki Mercedes o nr rej. WN 7071C, tj. o czyn z art. 180a kk.</w:t>
      </w:r>
    </w:p>
    <w:p w:rsidR="00E94454" w:rsidRPr="009D6A6B" w:rsidRDefault="00C46FFB">
      <w:pPr>
        <w:pStyle w:val="Teksttreci20"/>
        <w:shd w:val="clear" w:color="auto" w:fill="auto"/>
        <w:spacing w:before="0" w:after="360" w:line="422" w:lineRule="exact"/>
        <w:ind w:firstLine="600"/>
        <w:rPr>
          <w:rFonts w:ascii="Verdana" w:hAnsi="Verdana"/>
        </w:rPr>
      </w:pPr>
      <w:r w:rsidRPr="009D6A6B">
        <w:rPr>
          <w:rFonts w:ascii="Verdana" w:hAnsi="Verdana"/>
        </w:rPr>
        <w:t>Oskarżony przyznał się do winy. Złożył wyjaśnienia, w których wskazał, że miał świadomość, iż nie może prowadzić samochodu. Jan R. jest 84-letnim mężczyzną o ograniczonej sprawności ruchowej. Porusza się przy pomocy kuli. Utrzymuje się z emerytury w kwocie 1100 PLN. Nie posiada żadnego majątku. Był w przeszłości jeden raz karany, w 2015 roku za występek z art. 207 § 1 kk na karę grzywny, którą wykonał w dniu 30 grudnia 2015 roku.</w:t>
      </w:r>
    </w:p>
    <w:p w:rsidR="00E94454" w:rsidRPr="009D6A6B" w:rsidRDefault="00C46FFB">
      <w:pPr>
        <w:pStyle w:val="Nagwek10"/>
        <w:keepNext/>
        <w:keepLines/>
        <w:shd w:val="clear" w:color="auto" w:fill="auto"/>
        <w:spacing w:before="0" w:after="0" w:line="422" w:lineRule="exact"/>
        <w:jc w:val="both"/>
        <w:rPr>
          <w:rFonts w:ascii="Verdana" w:hAnsi="Verdana"/>
          <w:b w:val="0"/>
        </w:rPr>
      </w:pPr>
      <w:bookmarkStart w:id="35" w:name="bookmark2"/>
      <w:r w:rsidRPr="009D6A6B">
        <w:rPr>
          <w:rFonts w:ascii="Verdana" w:hAnsi="Verdana"/>
          <w:b w:val="0"/>
        </w:rPr>
        <w:t>Proszę przygotować propozycję rozstrzygnięcia. Proszę wskazać, czy orzeczenie jest zaskarżalne. Jeśli tak, to w jaki sposób, w jakim terminie.</w:t>
      </w:r>
      <w:bookmarkEnd w:id="35"/>
    </w:p>
    <w:sectPr w:rsidR="00E94454" w:rsidRPr="009D6A6B" w:rsidSect="009D6A6B">
      <w:footerReference w:type="default" r:id="rId7"/>
      <w:pgSz w:w="11900" w:h="16840"/>
      <w:pgMar w:top="401" w:right="1089" w:bottom="1843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8B" w:rsidRDefault="00E53D8B">
      <w:r>
        <w:separator/>
      </w:r>
    </w:p>
  </w:endnote>
  <w:endnote w:type="continuationSeparator" w:id="0">
    <w:p w:rsidR="00E53D8B" w:rsidRDefault="00E5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454" w:rsidRDefault="00E9445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8B" w:rsidRDefault="00E53D8B"/>
  </w:footnote>
  <w:footnote w:type="continuationSeparator" w:id="0">
    <w:p w:rsidR="00E53D8B" w:rsidRDefault="00E53D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05E2"/>
    <w:multiLevelType w:val="multilevel"/>
    <w:tmpl w:val="C8A4C5D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E5599"/>
    <w:multiLevelType w:val="multilevel"/>
    <w:tmpl w:val="3384AF6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D65DD"/>
    <w:multiLevelType w:val="multilevel"/>
    <w:tmpl w:val="52CE0BB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537F1"/>
    <w:multiLevelType w:val="multilevel"/>
    <w:tmpl w:val="A2B0ECA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CA5093"/>
    <w:multiLevelType w:val="multilevel"/>
    <w:tmpl w:val="A4AE131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340C5"/>
    <w:multiLevelType w:val="multilevel"/>
    <w:tmpl w:val="09E4AB1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A71BC5"/>
    <w:multiLevelType w:val="multilevel"/>
    <w:tmpl w:val="317A71B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466298"/>
    <w:multiLevelType w:val="multilevel"/>
    <w:tmpl w:val="4B764580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73687"/>
    <w:multiLevelType w:val="multilevel"/>
    <w:tmpl w:val="3E189F7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C25A58"/>
    <w:multiLevelType w:val="multilevel"/>
    <w:tmpl w:val="33E2C7F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FC5BA8"/>
    <w:multiLevelType w:val="multilevel"/>
    <w:tmpl w:val="EEB63E3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783339"/>
    <w:multiLevelType w:val="multilevel"/>
    <w:tmpl w:val="A82294DC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384687"/>
    <w:multiLevelType w:val="multilevel"/>
    <w:tmpl w:val="FB4AD84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AD7462"/>
    <w:multiLevelType w:val="multilevel"/>
    <w:tmpl w:val="5A920CD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C4049"/>
    <w:multiLevelType w:val="multilevel"/>
    <w:tmpl w:val="C8526D6C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CE2AC0"/>
    <w:multiLevelType w:val="multilevel"/>
    <w:tmpl w:val="A73C4DB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63F43"/>
    <w:multiLevelType w:val="multilevel"/>
    <w:tmpl w:val="7506F96C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886A05"/>
    <w:multiLevelType w:val="multilevel"/>
    <w:tmpl w:val="0E7ACC0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B22B81"/>
    <w:multiLevelType w:val="multilevel"/>
    <w:tmpl w:val="44E093E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436522"/>
    <w:multiLevelType w:val="multilevel"/>
    <w:tmpl w:val="1FD6C8A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1865F7"/>
    <w:multiLevelType w:val="multilevel"/>
    <w:tmpl w:val="1E1211D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B91377"/>
    <w:multiLevelType w:val="multilevel"/>
    <w:tmpl w:val="FF42391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2A6D03"/>
    <w:multiLevelType w:val="multilevel"/>
    <w:tmpl w:val="BD14539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92C13"/>
    <w:multiLevelType w:val="multilevel"/>
    <w:tmpl w:val="FC0AA6F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815E7A"/>
    <w:multiLevelType w:val="multilevel"/>
    <w:tmpl w:val="5F1C29A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70983"/>
    <w:multiLevelType w:val="multilevel"/>
    <w:tmpl w:val="44B061FC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8F2202"/>
    <w:multiLevelType w:val="multilevel"/>
    <w:tmpl w:val="C24C58D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AA2F57"/>
    <w:multiLevelType w:val="multilevel"/>
    <w:tmpl w:val="9B12AFA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8E2FC0"/>
    <w:multiLevelType w:val="multilevel"/>
    <w:tmpl w:val="486E331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0E135C"/>
    <w:multiLevelType w:val="multilevel"/>
    <w:tmpl w:val="E376D3F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201EF7"/>
    <w:multiLevelType w:val="multilevel"/>
    <w:tmpl w:val="4A04E46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7B29F8"/>
    <w:multiLevelType w:val="multilevel"/>
    <w:tmpl w:val="B0485D5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F93857"/>
    <w:multiLevelType w:val="multilevel"/>
    <w:tmpl w:val="5BC6242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1725E7"/>
    <w:multiLevelType w:val="multilevel"/>
    <w:tmpl w:val="9C808A1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E30A13"/>
    <w:multiLevelType w:val="multilevel"/>
    <w:tmpl w:val="376459A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AE62B5"/>
    <w:multiLevelType w:val="multilevel"/>
    <w:tmpl w:val="F262423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DD68C0"/>
    <w:multiLevelType w:val="multilevel"/>
    <w:tmpl w:val="D41E2E1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7"/>
  </w:num>
  <w:num w:numId="3">
    <w:abstractNumId w:val="24"/>
  </w:num>
  <w:num w:numId="4">
    <w:abstractNumId w:val="14"/>
  </w:num>
  <w:num w:numId="5">
    <w:abstractNumId w:val="3"/>
  </w:num>
  <w:num w:numId="6">
    <w:abstractNumId w:val="23"/>
  </w:num>
  <w:num w:numId="7">
    <w:abstractNumId w:val="21"/>
  </w:num>
  <w:num w:numId="8">
    <w:abstractNumId w:val="36"/>
  </w:num>
  <w:num w:numId="9">
    <w:abstractNumId w:val="28"/>
  </w:num>
  <w:num w:numId="10">
    <w:abstractNumId w:val="20"/>
  </w:num>
  <w:num w:numId="11">
    <w:abstractNumId w:val="9"/>
  </w:num>
  <w:num w:numId="12">
    <w:abstractNumId w:val="35"/>
  </w:num>
  <w:num w:numId="13">
    <w:abstractNumId w:val="30"/>
  </w:num>
  <w:num w:numId="14">
    <w:abstractNumId w:val="0"/>
  </w:num>
  <w:num w:numId="15">
    <w:abstractNumId w:val="5"/>
  </w:num>
  <w:num w:numId="16">
    <w:abstractNumId w:val="7"/>
  </w:num>
  <w:num w:numId="17">
    <w:abstractNumId w:val="31"/>
  </w:num>
  <w:num w:numId="18">
    <w:abstractNumId w:val="1"/>
  </w:num>
  <w:num w:numId="19">
    <w:abstractNumId w:val="29"/>
  </w:num>
  <w:num w:numId="20">
    <w:abstractNumId w:val="11"/>
  </w:num>
  <w:num w:numId="21">
    <w:abstractNumId w:val="6"/>
  </w:num>
  <w:num w:numId="22">
    <w:abstractNumId w:val="8"/>
  </w:num>
  <w:num w:numId="23">
    <w:abstractNumId w:val="4"/>
  </w:num>
  <w:num w:numId="24">
    <w:abstractNumId w:val="25"/>
  </w:num>
  <w:num w:numId="25">
    <w:abstractNumId w:val="13"/>
  </w:num>
  <w:num w:numId="26">
    <w:abstractNumId w:val="32"/>
  </w:num>
  <w:num w:numId="27">
    <w:abstractNumId w:val="2"/>
  </w:num>
  <w:num w:numId="28">
    <w:abstractNumId w:val="26"/>
  </w:num>
  <w:num w:numId="29">
    <w:abstractNumId w:val="16"/>
  </w:num>
  <w:num w:numId="30">
    <w:abstractNumId w:val="10"/>
  </w:num>
  <w:num w:numId="31">
    <w:abstractNumId w:val="17"/>
  </w:num>
  <w:num w:numId="32">
    <w:abstractNumId w:val="33"/>
  </w:num>
  <w:num w:numId="33">
    <w:abstractNumId w:val="15"/>
  </w:num>
  <w:num w:numId="34">
    <w:abstractNumId w:val="34"/>
  </w:num>
  <w:num w:numId="35">
    <w:abstractNumId w:val="22"/>
  </w:num>
  <w:num w:numId="36">
    <w:abstractNumId w:val="1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54"/>
    <w:rsid w:val="00276928"/>
    <w:rsid w:val="00565625"/>
    <w:rsid w:val="00864B5A"/>
    <w:rsid w:val="009D6A6B"/>
    <w:rsid w:val="00C46FFB"/>
    <w:rsid w:val="00D02613"/>
    <w:rsid w:val="00D572B3"/>
    <w:rsid w:val="00E53D8B"/>
    <w:rsid w:val="00E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B02F"/>
  <w15:docId w15:val="{F1A04176-6A16-47C9-86B2-AF22327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">
    <w:name w:val="Podpis obrazu_"/>
    <w:basedOn w:val="Domylnaczcionkaakapitu"/>
    <w:link w:val="Podpisobrazu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Nagwek11">
    <w:name w:val="Nagłówek #1"/>
    <w:basedOn w:val="Nagwek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4"/>
      <w:szCs w:val="24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374" w:lineRule="exact"/>
    </w:pPr>
    <w:rPr>
      <w:rFonts w:ascii="Bookman Old Style" w:eastAsia="Bookman Old Style" w:hAnsi="Bookman Old Style" w:cs="Bookman Old Style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48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374" w:lineRule="exact"/>
      <w:jc w:val="both"/>
    </w:pPr>
    <w:rPr>
      <w:rFonts w:ascii="Bookman Old Style" w:eastAsia="Bookman Old Style" w:hAnsi="Bookman Old Style" w:cs="Bookman Old Styl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20" w:line="374" w:lineRule="exact"/>
      <w:ind w:firstLine="620"/>
      <w:jc w:val="both"/>
    </w:pPr>
    <w:rPr>
      <w:rFonts w:ascii="Bookman Old Style" w:eastAsia="Bookman Old Style" w:hAnsi="Bookman Old Style" w:cs="Bookman Old Style"/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6A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A6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D6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A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E Z E S</vt:lpstr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Z E S</dc:title>
  <dc:subject/>
  <dc:creator>Meder Krzysztof</dc:creator>
  <cp:keywords/>
  <cp:lastModifiedBy>Meder Krzysztof</cp:lastModifiedBy>
  <cp:revision>4</cp:revision>
  <dcterms:created xsi:type="dcterms:W3CDTF">2021-11-05T13:20:00Z</dcterms:created>
  <dcterms:modified xsi:type="dcterms:W3CDTF">2021-11-09T07:08:00Z</dcterms:modified>
</cp:coreProperties>
</file>